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8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527"/>
      </w:tblGrid>
      <w:tr w:rsidR="00266135" w:rsidRPr="00E278DE" w:rsidTr="00F66A16">
        <w:trPr>
          <w:trHeight w:val="806"/>
          <w:jc w:val="center"/>
        </w:trPr>
        <w:tc>
          <w:tcPr>
            <w:tcW w:w="10387" w:type="dxa"/>
            <w:gridSpan w:val="2"/>
            <w:tcBorders>
              <w:top w:val="nil"/>
              <w:left w:val="nil"/>
              <w:bottom w:val="single" w:sz="4" w:space="0" w:color="auto"/>
              <w:right w:val="nil"/>
            </w:tcBorders>
          </w:tcPr>
          <w:p w:rsidR="00266135" w:rsidRDefault="00E42316" w:rsidP="00853025">
            <w:pPr>
              <w:pStyle w:val="Heading1"/>
              <w:tabs>
                <w:tab w:val="left" w:pos="7700"/>
              </w:tabs>
              <w:jc w:val="right"/>
              <w:rPr>
                <w:b/>
                <w:bCs/>
                <w:i w:val="0"/>
                <w:iCs w:val="0"/>
                <w:color w:val="auto"/>
                <w:sz w:val="28"/>
                <w:szCs w:val="18"/>
              </w:rPr>
            </w:pPr>
            <w:bookmarkStart w:id="0" w:name="_GoBack"/>
            <w:bookmarkEnd w:id="0"/>
            <w:r>
              <w:rPr>
                <w:b/>
                <w:bCs/>
                <w:i w:val="0"/>
                <w:iCs w:val="0"/>
                <w:color w:val="auto"/>
                <w:sz w:val="28"/>
                <w:szCs w:val="18"/>
                <w:lang w:eastAsia="en-GB"/>
              </w:rPr>
              <w:pict>
                <v:shapetype id="_x0000_t202" coordsize="21600,21600" o:spt="202" path="m,l,21600r21600,l21600,xe">
                  <v:stroke joinstyle="miter"/>
                  <v:path gradientshapeok="t" o:connecttype="rect"/>
                </v:shapetype>
                <v:shape id="_x0000_s1034" type="#_x0000_t202" style="position:absolute;left:0;text-align:left;margin-left:389.35pt;margin-top:-25.45pt;width:170.9pt;height:65.65pt;z-index:251665408;mso-wrap-style:none" stroked="f" strokecolor="red" strokeweight="2pt">
                  <v:stroke dashstyle="1 1" endcap="round"/>
                  <v:textbox style="mso-next-textbox:#_x0000_s1034;mso-fit-shape-to-text:t">
                    <w:txbxContent>
                      <w:p w:rsidR="00266135" w:rsidRDefault="00E42316">
                        <w:r>
                          <w:rPr>
                            <w:b/>
                            <w:bCs/>
                            <w:sz w:val="2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5pt;height:58.6pt">
                              <v:imagedata r:id="rId13" o:title="New NLAG logo - colour"/>
                            </v:shape>
                          </w:pict>
                        </w:r>
                      </w:p>
                    </w:txbxContent>
                  </v:textbox>
                </v:shape>
              </w:pict>
            </w:r>
          </w:p>
          <w:p w:rsidR="00266135" w:rsidRPr="00FD0E5F" w:rsidRDefault="00266135" w:rsidP="00E05BF1">
            <w:pPr>
              <w:pStyle w:val="Heading1"/>
              <w:tabs>
                <w:tab w:val="left" w:pos="7700"/>
              </w:tabs>
              <w:spacing w:after="240"/>
              <w:rPr>
                <w:i w:val="0"/>
                <w:color w:val="000080"/>
                <w:sz w:val="24"/>
              </w:rPr>
            </w:pPr>
            <w:r w:rsidRPr="00FD0E5F">
              <w:rPr>
                <w:b/>
                <w:bCs/>
                <w:i w:val="0"/>
                <w:iCs w:val="0"/>
                <w:color w:val="auto"/>
                <w:sz w:val="24"/>
              </w:rPr>
              <w:t>NLG(1</w:t>
            </w:r>
            <w:r>
              <w:rPr>
                <w:b/>
                <w:bCs/>
                <w:i w:val="0"/>
                <w:iCs w:val="0"/>
                <w:color w:val="auto"/>
                <w:sz w:val="24"/>
              </w:rPr>
              <w:t>8)307</w:t>
            </w:r>
            <w:r w:rsidRPr="00FD0E5F">
              <w:rPr>
                <w:b/>
                <w:bCs/>
                <w:i w:val="0"/>
                <w:iCs w:val="0"/>
                <w:color w:val="auto"/>
                <w:sz w:val="24"/>
              </w:rPr>
              <w:t xml:space="preserve">   </w:t>
            </w:r>
          </w:p>
        </w:tc>
      </w:tr>
      <w:tr w:rsidR="00266135" w:rsidRPr="00FD0E5F" w:rsidTr="00F66A16">
        <w:trPr>
          <w:trHeight w:val="434"/>
          <w:jc w:val="center"/>
        </w:trPr>
        <w:tc>
          <w:tcPr>
            <w:tcW w:w="4860" w:type="dxa"/>
            <w:tcBorders>
              <w:top w:val="single" w:sz="4" w:space="0" w:color="auto"/>
            </w:tcBorders>
            <w:tcMar>
              <w:top w:w="0" w:type="dxa"/>
              <w:left w:w="108" w:type="dxa"/>
              <w:bottom w:w="0" w:type="dxa"/>
              <w:right w:w="284" w:type="dxa"/>
            </w:tcMar>
          </w:tcPr>
          <w:p w:rsidR="00266135" w:rsidRPr="00FD0E5F" w:rsidRDefault="00266135" w:rsidP="00853025">
            <w:pPr>
              <w:spacing w:before="240" w:after="240"/>
              <w:rPr>
                <w:rFonts w:cs="Arial"/>
                <w:sz w:val="15"/>
                <w:szCs w:val="15"/>
              </w:rPr>
            </w:pPr>
            <w:r w:rsidRPr="00FD0E5F">
              <w:rPr>
                <w:rFonts w:cs="Arial"/>
                <w:sz w:val="15"/>
                <w:szCs w:val="15"/>
              </w:rPr>
              <w:t>DATE OF MEETING</w:t>
            </w:r>
          </w:p>
        </w:tc>
        <w:tc>
          <w:tcPr>
            <w:tcW w:w="5527" w:type="dxa"/>
            <w:tcBorders>
              <w:top w:val="single" w:sz="4" w:space="0" w:color="auto"/>
            </w:tcBorders>
            <w:vAlign w:val="center"/>
          </w:tcPr>
          <w:p w:rsidR="00266135" w:rsidRPr="00FD0E5F" w:rsidRDefault="00266135" w:rsidP="00B31809">
            <w:pPr>
              <w:pStyle w:val="Heading2"/>
              <w:rPr>
                <w:color w:val="auto"/>
                <w:sz w:val="15"/>
                <w:szCs w:val="15"/>
              </w:rPr>
            </w:pPr>
            <w:r>
              <w:rPr>
                <w:color w:val="auto"/>
                <w:sz w:val="15"/>
                <w:szCs w:val="15"/>
              </w:rPr>
              <w:t>28 August 2018</w:t>
            </w:r>
          </w:p>
        </w:tc>
      </w:tr>
      <w:tr w:rsidR="00266135" w:rsidRPr="00FD0E5F" w:rsidTr="00F66A16">
        <w:trPr>
          <w:jc w:val="center"/>
        </w:trPr>
        <w:tc>
          <w:tcPr>
            <w:tcW w:w="4860" w:type="dxa"/>
            <w:tcMar>
              <w:top w:w="0" w:type="dxa"/>
              <w:left w:w="108" w:type="dxa"/>
              <w:bottom w:w="0" w:type="dxa"/>
              <w:right w:w="284" w:type="dxa"/>
            </w:tcMar>
          </w:tcPr>
          <w:p w:rsidR="00266135" w:rsidRPr="00FD0E5F" w:rsidRDefault="00266135" w:rsidP="00853025">
            <w:pPr>
              <w:spacing w:before="240" w:after="240"/>
              <w:rPr>
                <w:rFonts w:cs="Arial"/>
                <w:sz w:val="15"/>
                <w:szCs w:val="15"/>
              </w:rPr>
            </w:pPr>
            <w:r w:rsidRPr="00FD0E5F">
              <w:rPr>
                <w:rFonts w:cs="Arial"/>
                <w:sz w:val="15"/>
                <w:szCs w:val="15"/>
              </w:rPr>
              <w:t>REPORT FOR</w:t>
            </w:r>
          </w:p>
        </w:tc>
        <w:tc>
          <w:tcPr>
            <w:tcW w:w="5527" w:type="dxa"/>
            <w:vAlign w:val="center"/>
          </w:tcPr>
          <w:p w:rsidR="00266135" w:rsidRPr="00FD0E5F" w:rsidRDefault="00266135" w:rsidP="00E05BF1">
            <w:pPr>
              <w:spacing w:before="240" w:after="240"/>
              <w:rPr>
                <w:rFonts w:cs="Arial"/>
                <w:b/>
                <w:bCs/>
                <w:sz w:val="15"/>
                <w:szCs w:val="15"/>
              </w:rPr>
            </w:pPr>
            <w:r w:rsidRPr="00FD0E5F">
              <w:rPr>
                <w:rFonts w:cs="Arial"/>
                <w:b/>
                <w:bCs/>
                <w:sz w:val="15"/>
                <w:szCs w:val="15"/>
              </w:rPr>
              <w:t>Trust Board of Directors –</w:t>
            </w:r>
            <w:r>
              <w:rPr>
                <w:rFonts w:cs="Arial"/>
                <w:b/>
                <w:bCs/>
                <w:sz w:val="15"/>
                <w:szCs w:val="15"/>
              </w:rPr>
              <w:t xml:space="preserve"> Public </w:t>
            </w:r>
          </w:p>
        </w:tc>
      </w:tr>
      <w:tr w:rsidR="00266135" w:rsidRPr="00FD0E5F" w:rsidTr="00F66A16">
        <w:trPr>
          <w:jc w:val="center"/>
        </w:trPr>
        <w:tc>
          <w:tcPr>
            <w:tcW w:w="4860" w:type="dxa"/>
            <w:tcMar>
              <w:top w:w="0" w:type="dxa"/>
              <w:left w:w="108" w:type="dxa"/>
              <w:bottom w:w="0" w:type="dxa"/>
              <w:right w:w="284" w:type="dxa"/>
            </w:tcMar>
          </w:tcPr>
          <w:p w:rsidR="00266135" w:rsidRPr="00FD0E5F" w:rsidRDefault="00266135" w:rsidP="00853025">
            <w:pPr>
              <w:spacing w:before="240" w:after="240"/>
              <w:rPr>
                <w:rFonts w:cs="Arial"/>
                <w:sz w:val="15"/>
                <w:szCs w:val="15"/>
              </w:rPr>
            </w:pPr>
            <w:r w:rsidRPr="00FD0E5F">
              <w:rPr>
                <w:rFonts w:cs="Arial"/>
                <w:sz w:val="15"/>
                <w:szCs w:val="15"/>
              </w:rPr>
              <w:t>REPORT FROM</w:t>
            </w:r>
          </w:p>
        </w:tc>
        <w:tc>
          <w:tcPr>
            <w:tcW w:w="5527" w:type="dxa"/>
            <w:vAlign w:val="center"/>
          </w:tcPr>
          <w:p w:rsidR="00266135" w:rsidRPr="00FD0E5F" w:rsidRDefault="00266135" w:rsidP="004245D6">
            <w:pPr>
              <w:rPr>
                <w:rFonts w:cs="Arial"/>
                <w:b/>
                <w:bCs/>
                <w:sz w:val="15"/>
                <w:szCs w:val="15"/>
              </w:rPr>
            </w:pPr>
            <w:r>
              <w:rPr>
                <w:rFonts w:cs="Arial"/>
                <w:b/>
                <w:bCs/>
                <w:sz w:val="15"/>
                <w:szCs w:val="15"/>
              </w:rPr>
              <w:t>Marcus Hassall, Director of Finance</w:t>
            </w:r>
          </w:p>
        </w:tc>
      </w:tr>
      <w:tr w:rsidR="00266135" w:rsidRPr="00FD0E5F" w:rsidTr="00F66A16">
        <w:trPr>
          <w:jc w:val="center"/>
        </w:trPr>
        <w:tc>
          <w:tcPr>
            <w:tcW w:w="4860" w:type="dxa"/>
            <w:tcMar>
              <w:top w:w="0" w:type="dxa"/>
              <w:left w:w="108" w:type="dxa"/>
              <w:bottom w:w="0" w:type="dxa"/>
              <w:right w:w="284" w:type="dxa"/>
            </w:tcMar>
          </w:tcPr>
          <w:p w:rsidR="00266135" w:rsidRPr="00FD0E5F" w:rsidRDefault="00266135" w:rsidP="00853025">
            <w:pPr>
              <w:spacing w:before="240" w:after="240"/>
              <w:rPr>
                <w:rFonts w:cs="Arial"/>
                <w:sz w:val="15"/>
                <w:szCs w:val="15"/>
              </w:rPr>
            </w:pPr>
            <w:r w:rsidRPr="00FD0E5F">
              <w:rPr>
                <w:rFonts w:cs="Arial"/>
                <w:sz w:val="15"/>
                <w:szCs w:val="15"/>
              </w:rPr>
              <w:t>CONTACT OFFICER</w:t>
            </w:r>
          </w:p>
        </w:tc>
        <w:tc>
          <w:tcPr>
            <w:tcW w:w="5527" w:type="dxa"/>
            <w:vAlign w:val="center"/>
          </w:tcPr>
          <w:p w:rsidR="00266135" w:rsidRPr="00FD0E5F" w:rsidRDefault="00266135" w:rsidP="004245D6">
            <w:pPr>
              <w:rPr>
                <w:rFonts w:cs="Arial"/>
                <w:b/>
                <w:bCs/>
                <w:sz w:val="15"/>
                <w:szCs w:val="15"/>
              </w:rPr>
            </w:pPr>
            <w:r>
              <w:rPr>
                <w:rFonts w:cs="Arial"/>
                <w:b/>
                <w:bCs/>
                <w:sz w:val="15"/>
                <w:szCs w:val="15"/>
              </w:rPr>
              <w:t>Marcus Hassall, Director of Finance</w:t>
            </w:r>
          </w:p>
        </w:tc>
      </w:tr>
      <w:tr w:rsidR="00266135" w:rsidRPr="00FD0E5F" w:rsidTr="00F66A16">
        <w:trPr>
          <w:jc w:val="center"/>
        </w:trPr>
        <w:tc>
          <w:tcPr>
            <w:tcW w:w="4860" w:type="dxa"/>
            <w:tcMar>
              <w:top w:w="0" w:type="dxa"/>
              <w:left w:w="108" w:type="dxa"/>
              <w:bottom w:w="0" w:type="dxa"/>
              <w:right w:w="284" w:type="dxa"/>
            </w:tcMar>
          </w:tcPr>
          <w:p w:rsidR="00266135" w:rsidRPr="00FD0E5F" w:rsidRDefault="00266135" w:rsidP="00853025">
            <w:pPr>
              <w:spacing w:before="240" w:after="240"/>
              <w:rPr>
                <w:rFonts w:cs="Arial"/>
                <w:sz w:val="15"/>
                <w:szCs w:val="15"/>
              </w:rPr>
            </w:pPr>
            <w:r>
              <w:rPr>
                <w:rFonts w:cs="Arial"/>
                <w:sz w:val="15"/>
                <w:szCs w:val="15"/>
              </w:rPr>
              <w:t>SUBJECT</w:t>
            </w:r>
          </w:p>
        </w:tc>
        <w:tc>
          <w:tcPr>
            <w:tcW w:w="5527" w:type="dxa"/>
            <w:vAlign w:val="center"/>
          </w:tcPr>
          <w:p w:rsidR="00266135" w:rsidRPr="00FD0E5F" w:rsidRDefault="00266135" w:rsidP="00B37D56">
            <w:pPr>
              <w:rPr>
                <w:rFonts w:cs="Arial"/>
                <w:b/>
                <w:sz w:val="15"/>
                <w:szCs w:val="15"/>
              </w:rPr>
            </w:pPr>
            <w:r>
              <w:rPr>
                <w:rFonts w:cs="Arial"/>
                <w:b/>
                <w:sz w:val="15"/>
                <w:szCs w:val="15"/>
              </w:rPr>
              <w:t>Finance Report 2018/19 – M04</w:t>
            </w:r>
          </w:p>
        </w:tc>
      </w:tr>
      <w:tr w:rsidR="00266135" w:rsidRPr="00FD0E5F" w:rsidTr="00F66A16">
        <w:trPr>
          <w:jc w:val="center"/>
        </w:trPr>
        <w:tc>
          <w:tcPr>
            <w:tcW w:w="4860" w:type="dxa"/>
            <w:tcMar>
              <w:top w:w="0" w:type="dxa"/>
              <w:left w:w="108" w:type="dxa"/>
              <w:bottom w:w="0" w:type="dxa"/>
              <w:right w:w="284" w:type="dxa"/>
            </w:tcMar>
          </w:tcPr>
          <w:p w:rsidR="00266135" w:rsidRPr="00FD0E5F" w:rsidRDefault="00266135" w:rsidP="00853025">
            <w:pPr>
              <w:spacing w:before="240" w:after="240"/>
              <w:rPr>
                <w:rFonts w:cs="Arial"/>
                <w:sz w:val="15"/>
                <w:szCs w:val="15"/>
              </w:rPr>
            </w:pPr>
            <w:r w:rsidRPr="00FD0E5F">
              <w:rPr>
                <w:rFonts w:cs="Arial"/>
                <w:sz w:val="15"/>
                <w:szCs w:val="15"/>
              </w:rPr>
              <w:t>BACKGROUND DOCUMENT (IF ANY)</w:t>
            </w:r>
          </w:p>
        </w:tc>
        <w:tc>
          <w:tcPr>
            <w:tcW w:w="5527" w:type="dxa"/>
            <w:vAlign w:val="center"/>
          </w:tcPr>
          <w:p w:rsidR="00266135" w:rsidRPr="00FD0E5F" w:rsidRDefault="00266135" w:rsidP="004245D6">
            <w:pPr>
              <w:rPr>
                <w:rFonts w:cs="Arial"/>
                <w:b/>
                <w:bCs/>
                <w:sz w:val="15"/>
                <w:szCs w:val="15"/>
              </w:rPr>
            </w:pPr>
            <w:r>
              <w:rPr>
                <w:rFonts w:cs="Arial"/>
                <w:b/>
                <w:bCs/>
                <w:sz w:val="15"/>
                <w:szCs w:val="15"/>
              </w:rPr>
              <w:t>-</w:t>
            </w:r>
          </w:p>
        </w:tc>
      </w:tr>
      <w:tr w:rsidR="00266135" w:rsidRPr="00FD0E5F" w:rsidTr="003A47F4">
        <w:trPr>
          <w:jc w:val="center"/>
        </w:trPr>
        <w:tc>
          <w:tcPr>
            <w:tcW w:w="4860" w:type="dxa"/>
            <w:tcMar>
              <w:top w:w="0" w:type="dxa"/>
              <w:left w:w="108" w:type="dxa"/>
              <w:bottom w:w="0" w:type="dxa"/>
              <w:right w:w="284" w:type="dxa"/>
            </w:tcMar>
          </w:tcPr>
          <w:p w:rsidR="00266135" w:rsidRPr="00FD0E5F" w:rsidRDefault="00266135" w:rsidP="00F57786">
            <w:pPr>
              <w:spacing w:before="240" w:after="240"/>
              <w:rPr>
                <w:rFonts w:cs="Arial"/>
                <w:sz w:val="15"/>
                <w:szCs w:val="15"/>
              </w:rPr>
            </w:pPr>
            <w:r>
              <w:rPr>
                <w:rFonts w:cs="Arial"/>
                <w:sz w:val="15"/>
                <w:szCs w:val="15"/>
              </w:rPr>
              <w:t>PURPOSE OF THE REPORT:</w:t>
            </w:r>
          </w:p>
        </w:tc>
        <w:tc>
          <w:tcPr>
            <w:tcW w:w="5527" w:type="dxa"/>
            <w:vAlign w:val="center"/>
          </w:tcPr>
          <w:p w:rsidR="00266135" w:rsidRPr="002333D6" w:rsidRDefault="00266135" w:rsidP="00E05BF1">
            <w:pPr>
              <w:rPr>
                <w:rFonts w:cs="Arial"/>
                <w:b/>
                <w:bCs/>
                <w:sz w:val="15"/>
                <w:szCs w:val="15"/>
              </w:rPr>
            </w:pPr>
            <w:r w:rsidRPr="002333D6">
              <w:rPr>
                <w:rFonts w:cs="Arial"/>
                <w:b/>
                <w:bCs/>
                <w:sz w:val="15"/>
                <w:szCs w:val="15"/>
              </w:rPr>
              <w:t>For discussion</w:t>
            </w:r>
          </w:p>
        </w:tc>
      </w:tr>
      <w:tr w:rsidR="00266135" w:rsidRPr="00FD0E5F" w:rsidTr="00F66A16">
        <w:trPr>
          <w:jc w:val="center"/>
        </w:trPr>
        <w:tc>
          <w:tcPr>
            <w:tcW w:w="4860" w:type="dxa"/>
            <w:tcMar>
              <w:top w:w="0" w:type="dxa"/>
              <w:left w:w="108" w:type="dxa"/>
              <w:bottom w:w="0" w:type="dxa"/>
              <w:right w:w="284" w:type="dxa"/>
            </w:tcMar>
          </w:tcPr>
          <w:p w:rsidR="00266135" w:rsidRDefault="00266135" w:rsidP="00853025">
            <w:pPr>
              <w:spacing w:before="240" w:after="240"/>
              <w:rPr>
                <w:rFonts w:cs="Arial"/>
                <w:sz w:val="15"/>
                <w:szCs w:val="15"/>
              </w:rPr>
            </w:pPr>
            <w:r w:rsidRPr="00FD0E5F">
              <w:rPr>
                <w:rFonts w:cs="Arial"/>
                <w:sz w:val="15"/>
                <w:szCs w:val="15"/>
              </w:rPr>
              <w:t xml:space="preserve">EXECUTIVE </w:t>
            </w:r>
            <w:r>
              <w:rPr>
                <w:rFonts w:cs="Arial"/>
                <w:sz w:val="15"/>
                <w:szCs w:val="15"/>
              </w:rPr>
              <w:t>SUMMARY</w:t>
            </w:r>
            <w:r w:rsidRPr="00FD0E5F">
              <w:rPr>
                <w:rFonts w:cs="Arial"/>
                <w:sz w:val="15"/>
                <w:szCs w:val="15"/>
              </w:rPr>
              <w:t xml:space="preserve"> </w:t>
            </w:r>
            <w:r w:rsidRPr="00290A9C">
              <w:rPr>
                <w:rFonts w:cs="Arial"/>
                <w:b/>
                <w:sz w:val="15"/>
                <w:szCs w:val="15"/>
              </w:rPr>
              <w:t>(PLEASE INCLUDE</w:t>
            </w:r>
            <w:r>
              <w:rPr>
                <w:rFonts w:cs="Arial"/>
                <w:b/>
                <w:sz w:val="15"/>
                <w:szCs w:val="15"/>
              </w:rPr>
              <w:t xml:space="preserve">: A </w:t>
            </w:r>
            <w:r w:rsidRPr="00290A9C">
              <w:rPr>
                <w:rFonts w:cs="Arial"/>
                <w:b/>
                <w:sz w:val="15"/>
                <w:szCs w:val="15"/>
              </w:rPr>
              <w:t>SUM</w:t>
            </w:r>
            <w:r>
              <w:rPr>
                <w:rFonts w:cs="Arial"/>
                <w:b/>
                <w:sz w:val="15"/>
                <w:szCs w:val="15"/>
              </w:rPr>
              <w:t>MARY OF THE REPORT,  KEY POINTS &amp; / OR ANY RISKS WHICH NEED TO BE BROUGHT TO THE ATTENTION OF THE TRUST BOARD AND</w:t>
            </w:r>
            <w:r w:rsidRPr="00290A9C">
              <w:rPr>
                <w:rFonts w:cs="Arial"/>
                <w:b/>
                <w:sz w:val="15"/>
                <w:szCs w:val="15"/>
              </w:rPr>
              <w:t xml:space="preserve"> </w:t>
            </w:r>
            <w:r>
              <w:rPr>
                <w:rFonts w:cs="Arial"/>
                <w:b/>
                <w:sz w:val="15"/>
                <w:szCs w:val="15"/>
              </w:rPr>
              <w:t xml:space="preserve">ANY </w:t>
            </w:r>
            <w:r w:rsidRPr="00290A9C">
              <w:rPr>
                <w:rFonts w:cs="Arial"/>
                <w:b/>
                <w:sz w:val="15"/>
                <w:szCs w:val="15"/>
              </w:rPr>
              <w:t>MITIGATING ACTIONS</w:t>
            </w:r>
            <w:r>
              <w:rPr>
                <w:rFonts w:cs="Arial"/>
                <w:b/>
                <w:sz w:val="15"/>
                <w:szCs w:val="15"/>
              </w:rPr>
              <w:t>,</w:t>
            </w:r>
            <w:r w:rsidRPr="00290A9C">
              <w:rPr>
                <w:rFonts w:cs="Arial"/>
                <w:b/>
                <w:sz w:val="15"/>
                <w:szCs w:val="15"/>
              </w:rPr>
              <w:t xml:space="preserve"> WHERE APPROPRIATE)</w:t>
            </w: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Default="00266135" w:rsidP="00853025">
            <w:pPr>
              <w:spacing w:before="240" w:after="240"/>
              <w:rPr>
                <w:rFonts w:cs="Arial"/>
                <w:sz w:val="15"/>
                <w:szCs w:val="15"/>
              </w:rPr>
            </w:pPr>
          </w:p>
          <w:p w:rsidR="00266135" w:rsidRPr="00FD0E5F" w:rsidRDefault="00266135" w:rsidP="00853025">
            <w:pPr>
              <w:spacing w:before="240" w:after="240"/>
              <w:rPr>
                <w:rFonts w:cs="Arial"/>
                <w:sz w:val="15"/>
                <w:szCs w:val="15"/>
              </w:rPr>
            </w:pPr>
          </w:p>
        </w:tc>
        <w:tc>
          <w:tcPr>
            <w:tcW w:w="5527" w:type="dxa"/>
            <w:vAlign w:val="center"/>
          </w:tcPr>
          <w:p w:rsidR="00266135" w:rsidRDefault="00266135" w:rsidP="004855F6">
            <w:pPr>
              <w:rPr>
                <w:rFonts w:cs="Arial"/>
                <w:b/>
                <w:bCs/>
                <w:sz w:val="15"/>
                <w:szCs w:val="15"/>
              </w:rPr>
            </w:pPr>
          </w:p>
          <w:p w:rsidR="00266135" w:rsidRPr="00E05BF1" w:rsidRDefault="00266135" w:rsidP="00E05BF1">
            <w:pPr>
              <w:rPr>
                <w:rFonts w:eastAsia="Calibri" w:cs="Arial"/>
                <w:b/>
                <w:bCs/>
                <w:sz w:val="15"/>
                <w:szCs w:val="15"/>
              </w:rPr>
            </w:pPr>
            <w:r w:rsidRPr="00E05BF1">
              <w:rPr>
                <w:rFonts w:eastAsia="Calibri" w:cs="Arial"/>
                <w:b/>
                <w:bCs/>
                <w:sz w:val="15"/>
                <w:szCs w:val="15"/>
              </w:rPr>
              <w:t xml:space="preserve">This report highlights the reported </w:t>
            </w:r>
            <w:r>
              <w:rPr>
                <w:rFonts w:eastAsia="Calibri" w:cs="Arial"/>
                <w:b/>
                <w:bCs/>
                <w:sz w:val="15"/>
                <w:szCs w:val="15"/>
              </w:rPr>
              <w:t>financial position at Month 04</w:t>
            </w:r>
            <w:r w:rsidRPr="00E05BF1">
              <w:rPr>
                <w:rFonts w:eastAsia="Calibri" w:cs="Arial"/>
                <w:b/>
                <w:bCs/>
                <w:sz w:val="15"/>
                <w:szCs w:val="15"/>
              </w:rPr>
              <w:t xml:space="preserve"> of the 2018/19 reporting period.</w:t>
            </w: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Default="00266135" w:rsidP="004855F6">
            <w:pPr>
              <w:rPr>
                <w:rFonts w:cs="Arial"/>
                <w:b/>
                <w:bCs/>
                <w:sz w:val="15"/>
                <w:szCs w:val="15"/>
              </w:rPr>
            </w:pPr>
          </w:p>
          <w:p w:rsidR="00266135" w:rsidRPr="00FD0E5F" w:rsidRDefault="00266135" w:rsidP="004855F6">
            <w:pPr>
              <w:rPr>
                <w:rFonts w:cs="Arial"/>
                <w:b/>
                <w:bCs/>
                <w:sz w:val="15"/>
                <w:szCs w:val="15"/>
              </w:rPr>
            </w:pPr>
          </w:p>
        </w:tc>
      </w:tr>
      <w:tr w:rsidR="00266135" w:rsidRPr="00FD0E5F" w:rsidTr="003A47F4">
        <w:trPr>
          <w:jc w:val="center"/>
        </w:trPr>
        <w:tc>
          <w:tcPr>
            <w:tcW w:w="4860" w:type="dxa"/>
            <w:tcMar>
              <w:top w:w="0" w:type="dxa"/>
              <w:left w:w="108" w:type="dxa"/>
              <w:bottom w:w="0" w:type="dxa"/>
              <w:right w:w="284" w:type="dxa"/>
            </w:tcMar>
          </w:tcPr>
          <w:p w:rsidR="00266135" w:rsidRDefault="00266135" w:rsidP="00853025">
            <w:pPr>
              <w:spacing w:before="240" w:after="240"/>
              <w:rPr>
                <w:rFonts w:cs="Arial"/>
                <w:sz w:val="15"/>
                <w:szCs w:val="15"/>
              </w:rPr>
            </w:pPr>
            <w:r>
              <w:rPr>
                <w:rFonts w:cs="Arial"/>
                <w:sz w:val="15"/>
                <w:szCs w:val="15"/>
              </w:rPr>
              <w:t>TRUST BOARD ACTION REQUIRED</w:t>
            </w:r>
          </w:p>
        </w:tc>
        <w:tc>
          <w:tcPr>
            <w:tcW w:w="5527" w:type="dxa"/>
          </w:tcPr>
          <w:p w:rsidR="00266135" w:rsidRDefault="00266135" w:rsidP="003A47F4">
            <w:pPr>
              <w:pStyle w:val="Default"/>
              <w:rPr>
                <w:b/>
                <w:sz w:val="15"/>
                <w:szCs w:val="15"/>
              </w:rPr>
            </w:pPr>
          </w:p>
          <w:p w:rsidR="00266135" w:rsidRDefault="00266135" w:rsidP="00B9037C">
            <w:pPr>
              <w:pStyle w:val="Default"/>
              <w:jc w:val="both"/>
              <w:rPr>
                <w:b/>
                <w:sz w:val="15"/>
                <w:szCs w:val="15"/>
              </w:rPr>
            </w:pPr>
            <w:r>
              <w:rPr>
                <w:b/>
                <w:sz w:val="15"/>
                <w:szCs w:val="15"/>
              </w:rPr>
              <w:t xml:space="preserve">The Board is </w:t>
            </w:r>
            <w:r w:rsidRPr="00FC3C31">
              <w:rPr>
                <w:b/>
                <w:sz w:val="15"/>
                <w:szCs w:val="15"/>
              </w:rPr>
              <w:t>requested</w:t>
            </w:r>
            <w:r>
              <w:rPr>
                <w:b/>
                <w:sz w:val="15"/>
                <w:szCs w:val="15"/>
              </w:rPr>
              <w:t xml:space="preserve"> </w:t>
            </w:r>
            <w:r w:rsidR="006976F3">
              <w:rPr>
                <w:b/>
                <w:sz w:val="15"/>
                <w:szCs w:val="15"/>
              </w:rPr>
              <w:t xml:space="preserve">to </w:t>
            </w:r>
            <w:r>
              <w:rPr>
                <w:b/>
                <w:sz w:val="15"/>
                <w:szCs w:val="15"/>
              </w:rPr>
              <w:t>review the reported financial position, identify key areas for challenge and review, and suggest further actions that they consider appropriate.</w:t>
            </w:r>
          </w:p>
        </w:tc>
      </w:tr>
    </w:tbl>
    <w:p w:rsidR="00266135" w:rsidRDefault="00266135" w:rsidP="00164A3F">
      <w:pPr>
        <w:pStyle w:val="Header"/>
      </w:pPr>
    </w:p>
    <w:p w:rsidR="00266135" w:rsidRDefault="00266135">
      <w:pPr>
        <w:spacing w:after="200" w:line="276" w:lineRule="auto"/>
        <w:jc w:val="left"/>
        <w:rPr>
          <w:rFonts w:cs="Arial"/>
          <w:b/>
        </w:rPr>
      </w:pPr>
      <w:r>
        <w:rPr>
          <w:rFonts w:cs="Arial"/>
          <w:b/>
        </w:rPr>
        <w:br w:type="page"/>
      </w:r>
    </w:p>
    <w:p w:rsidR="006C42AA" w:rsidRDefault="006C42AA" w:rsidP="006C42AA">
      <w:pPr>
        <w:ind w:left="6480" w:firstLine="720"/>
        <w:rPr>
          <w:rFonts w:cs="Arial"/>
          <w:b/>
          <w:sz w:val="16"/>
          <w:szCs w:val="16"/>
        </w:rPr>
      </w:pPr>
    </w:p>
    <w:p w:rsidR="00266135" w:rsidRDefault="00266135" w:rsidP="006C42AA">
      <w:pPr>
        <w:ind w:left="6480" w:firstLine="720"/>
        <w:rPr>
          <w:rFonts w:cs="Arial"/>
          <w:b/>
          <w:sz w:val="16"/>
          <w:szCs w:val="16"/>
        </w:rPr>
      </w:pPr>
    </w:p>
    <w:p w:rsidR="00266135" w:rsidRPr="00BD3147" w:rsidRDefault="00266135" w:rsidP="006C42AA">
      <w:pPr>
        <w:ind w:left="6480" w:firstLine="720"/>
        <w:rPr>
          <w:rFonts w:cs="Arial"/>
          <w:b/>
          <w:sz w:val="16"/>
          <w:szCs w:val="16"/>
        </w:rPr>
      </w:pPr>
    </w:p>
    <w:p w:rsidR="00913DC5" w:rsidRDefault="00913DC5" w:rsidP="00913DC5"/>
    <w:p w:rsidR="00686AE9" w:rsidRPr="00746CE6" w:rsidRDefault="00196B53" w:rsidP="00266135">
      <w:pPr>
        <w:spacing w:after="200" w:line="276" w:lineRule="auto"/>
        <w:jc w:val="center"/>
        <w:rPr>
          <w:rFonts w:eastAsia="Times New Roman" w:cs="Arial"/>
          <w:b/>
          <w:sz w:val="32"/>
          <w:szCs w:val="32"/>
          <w:lang w:val="en-US"/>
        </w:rPr>
      </w:pPr>
      <w:r>
        <w:rPr>
          <w:rFonts w:eastAsia="Times New Roman" w:cs="Arial"/>
          <w:b/>
          <w:sz w:val="32"/>
          <w:szCs w:val="32"/>
          <w:lang w:val="en-US"/>
        </w:rPr>
        <w:t>F</w:t>
      </w:r>
      <w:r w:rsidR="00662EA5" w:rsidRPr="00662EA5">
        <w:rPr>
          <w:rFonts w:eastAsia="Times New Roman" w:cs="Arial"/>
          <w:b/>
          <w:sz w:val="32"/>
          <w:szCs w:val="32"/>
          <w:lang w:val="en-US"/>
        </w:rPr>
        <w:t>inance Update Report</w:t>
      </w:r>
      <w:r w:rsidR="003710A9">
        <w:rPr>
          <w:rFonts w:eastAsia="Times New Roman" w:cs="Arial"/>
          <w:b/>
          <w:sz w:val="32"/>
          <w:szCs w:val="32"/>
          <w:lang w:val="en-US"/>
        </w:rPr>
        <w:t xml:space="preserve"> 2018/19</w:t>
      </w:r>
      <w:r w:rsidR="00662EA5">
        <w:rPr>
          <w:rFonts w:eastAsia="Times New Roman" w:cs="Arial"/>
          <w:b/>
          <w:sz w:val="32"/>
          <w:szCs w:val="32"/>
          <w:lang w:val="en-US"/>
        </w:rPr>
        <w:t>:</w:t>
      </w:r>
      <w:r w:rsidR="00662EA5" w:rsidRPr="00662EA5">
        <w:rPr>
          <w:rFonts w:eastAsia="Times New Roman" w:cs="Arial"/>
          <w:b/>
          <w:sz w:val="32"/>
          <w:szCs w:val="32"/>
          <w:lang w:val="en-US"/>
        </w:rPr>
        <w:t xml:space="preserve"> Month </w:t>
      </w:r>
      <w:r w:rsidR="003710A9">
        <w:rPr>
          <w:rFonts w:eastAsia="Times New Roman" w:cs="Arial"/>
          <w:b/>
          <w:sz w:val="32"/>
          <w:szCs w:val="32"/>
          <w:lang w:val="en-US"/>
        </w:rPr>
        <w:t>0</w:t>
      </w:r>
      <w:r w:rsidR="00CA26A7">
        <w:rPr>
          <w:rFonts w:eastAsia="Times New Roman" w:cs="Arial"/>
          <w:b/>
          <w:sz w:val="32"/>
          <w:szCs w:val="32"/>
          <w:lang w:val="en-US"/>
        </w:rPr>
        <w:t>4</w:t>
      </w:r>
    </w:p>
    <w:p w:rsidR="00266135" w:rsidRDefault="00266135" w:rsidP="00A01AB6">
      <w:pPr>
        <w:pStyle w:val="Default"/>
        <w:jc w:val="both"/>
        <w:rPr>
          <w:b/>
          <w:bCs/>
          <w:color w:val="auto"/>
        </w:rPr>
      </w:pPr>
    </w:p>
    <w:p w:rsidR="00C9114F" w:rsidRPr="00EE6756" w:rsidRDefault="00A90500" w:rsidP="00A01AB6">
      <w:pPr>
        <w:pStyle w:val="Default"/>
        <w:jc w:val="both"/>
        <w:rPr>
          <w:color w:val="auto"/>
        </w:rPr>
      </w:pPr>
      <w:r w:rsidRPr="00EE6756">
        <w:rPr>
          <w:b/>
          <w:bCs/>
          <w:color w:val="auto"/>
        </w:rPr>
        <w:t>Report Outline:</w:t>
      </w:r>
    </w:p>
    <w:p w:rsidR="00C65B75" w:rsidRPr="00EE6756" w:rsidRDefault="00C65B75" w:rsidP="00C05708">
      <w:pPr>
        <w:pStyle w:val="Default"/>
        <w:jc w:val="both"/>
        <w:rPr>
          <w:color w:val="auto"/>
        </w:rPr>
      </w:pPr>
    </w:p>
    <w:p w:rsidR="00976AA8" w:rsidRPr="00EE6756" w:rsidRDefault="00C9114F" w:rsidP="00976AA8">
      <w:pPr>
        <w:pStyle w:val="Default"/>
        <w:jc w:val="both"/>
        <w:rPr>
          <w:color w:val="auto"/>
        </w:rPr>
      </w:pPr>
      <w:r w:rsidRPr="00EE6756">
        <w:rPr>
          <w:color w:val="auto"/>
        </w:rPr>
        <w:t xml:space="preserve">This report </w:t>
      </w:r>
      <w:r w:rsidR="00976AA8" w:rsidRPr="00EE6756">
        <w:rPr>
          <w:color w:val="auto"/>
        </w:rPr>
        <w:t>covers</w:t>
      </w:r>
      <w:r w:rsidR="006E3042" w:rsidRPr="00EE6756">
        <w:rPr>
          <w:color w:val="auto"/>
        </w:rPr>
        <w:t xml:space="preserve"> the Trust’s financial performance to </w:t>
      </w:r>
      <w:r w:rsidR="00A42C12" w:rsidRPr="00EE6756">
        <w:rPr>
          <w:color w:val="auto"/>
        </w:rPr>
        <w:t xml:space="preserve">the end of month </w:t>
      </w:r>
      <w:r w:rsidR="00CA26A7">
        <w:rPr>
          <w:color w:val="auto"/>
        </w:rPr>
        <w:t>4</w:t>
      </w:r>
      <w:r w:rsidR="00A42C12" w:rsidRPr="00EE6756">
        <w:rPr>
          <w:color w:val="auto"/>
        </w:rPr>
        <w:t xml:space="preserve"> (</w:t>
      </w:r>
      <w:r w:rsidR="003710A9" w:rsidRPr="00EE6756">
        <w:rPr>
          <w:color w:val="auto"/>
        </w:rPr>
        <w:t>Ju</w:t>
      </w:r>
      <w:r w:rsidR="00CA26A7">
        <w:rPr>
          <w:color w:val="auto"/>
        </w:rPr>
        <w:t>ly</w:t>
      </w:r>
      <w:r w:rsidR="00976AA8" w:rsidRPr="00EE6756">
        <w:rPr>
          <w:color w:val="auto"/>
        </w:rPr>
        <w:t xml:space="preserve"> 201</w:t>
      </w:r>
      <w:r w:rsidR="00C02C48" w:rsidRPr="00EE6756">
        <w:rPr>
          <w:color w:val="auto"/>
        </w:rPr>
        <w:t>8</w:t>
      </w:r>
      <w:r w:rsidR="00976AA8" w:rsidRPr="00EE6756">
        <w:rPr>
          <w:color w:val="auto"/>
        </w:rPr>
        <w:t>). It covers the following</w:t>
      </w:r>
      <w:r w:rsidR="00031431" w:rsidRPr="00EE6756">
        <w:rPr>
          <w:color w:val="auto"/>
        </w:rPr>
        <w:t xml:space="preserve"> areas</w:t>
      </w:r>
      <w:r w:rsidR="00976AA8" w:rsidRPr="00EE6756">
        <w:rPr>
          <w:color w:val="auto"/>
        </w:rPr>
        <w:t>:</w:t>
      </w:r>
    </w:p>
    <w:p w:rsidR="00976AA8" w:rsidRPr="00EE6756" w:rsidRDefault="00976AA8" w:rsidP="00976AA8">
      <w:pPr>
        <w:pStyle w:val="Default"/>
        <w:jc w:val="both"/>
        <w:rPr>
          <w:color w:val="auto"/>
        </w:rPr>
      </w:pPr>
    </w:p>
    <w:p w:rsidR="00976AA8" w:rsidRPr="00EE6756" w:rsidRDefault="00976AA8" w:rsidP="00976AA8">
      <w:pPr>
        <w:pStyle w:val="Default"/>
        <w:numPr>
          <w:ilvl w:val="0"/>
          <w:numId w:val="28"/>
        </w:numPr>
        <w:jc w:val="both"/>
        <w:rPr>
          <w:color w:val="auto"/>
        </w:rPr>
      </w:pPr>
      <w:r w:rsidRPr="00EE6756">
        <w:rPr>
          <w:color w:val="auto"/>
        </w:rPr>
        <w:t>Financial Position</w:t>
      </w:r>
      <w:r w:rsidR="00F542E5" w:rsidRPr="00EE6756">
        <w:rPr>
          <w:color w:val="auto"/>
        </w:rPr>
        <w:t xml:space="preserve"> Overview</w:t>
      </w:r>
      <w:r w:rsidRPr="00EE6756">
        <w:rPr>
          <w:color w:val="auto"/>
        </w:rPr>
        <w:t>;</w:t>
      </w:r>
    </w:p>
    <w:p w:rsidR="00976AA8" w:rsidRPr="00EE6756" w:rsidRDefault="00976AA8" w:rsidP="00976AA8">
      <w:pPr>
        <w:pStyle w:val="Default"/>
        <w:numPr>
          <w:ilvl w:val="0"/>
          <w:numId w:val="28"/>
        </w:numPr>
        <w:jc w:val="both"/>
        <w:rPr>
          <w:color w:val="auto"/>
        </w:rPr>
      </w:pPr>
      <w:r w:rsidRPr="00EE6756">
        <w:rPr>
          <w:color w:val="auto"/>
        </w:rPr>
        <w:t xml:space="preserve">I&amp;E </w:t>
      </w:r>
      <w:r w:rsidR="00536CDB" w:rsidRPr="00EE6756">
        <w:rPr>
          <w:color w:val="auto"/>
        </w:rPr>
        <w:t>Position</w:t>
      </w:r>
      <w:r w:rsidRPr="00EE6756">
        <w:rPr>
          <w:color w:val="auto"/>
        </w:rPr>
        <w:t xml:space="preserve"> – including Full Year Forecast;</w:t>
      </w:r>
    </w:p>
    <w:p w:rsidR="00976AA8" w:rsidRPr="00EE6756" w:rsidRDefault="00976AA8" w:rsidP="00976AA8">
      <w:pPr>
        <w:pStyle w:val="Default"/>
        <w:numPr>
          <w:ilvl w:val="0"/>
          <w:numId w:val="28"/>
        </w:numPr>
        <w:jc w:val="both"/>
        <w:rPr>
          <w:color w:val="auto"/>
        </w:rPr>
      </w:pPr>
      <w:r w:rsidRPr="00EE6756">
        <w:rPr>
          <w:color w:val="auto"/>
        </w:rPr>
        <w:t>Activity, Contracting and Income;</w:t>
      </w:r>
    </w:p>
    <w:p w:rsidR="00976AA8" w:rsidRPr="00EE6756" w:rsidRDefault="00976AA8" w:rsidP="00976AA8">
      <w:pPr>
        <w:pStyle w:val="Default"/>
        <w:numPr>
          <w:ilvl w:val="0"/>
          <w:numId w:val="28"/>
        </w:numPr>
        <w:jc w:val="both"/>
        <w:rPr>
          <w:color w:val="auto"/>
        </w:rPr>
      </w:pPr>
      <w:r w:rsidRPr="00EE6756">
        <w:rPr>
          <w:color w:val="auto"/>
        </w:rPr>
        <w:t>Expenditure and Savings Programme;</w:t>
      </w:r>
    </w:p>
    <w:p w:rsidR="003710A9" w:rsidRPr="00EE6756" w:rsidRDefault="003710A9" w:rsidP="003710A9">
      <w:pPr>
        <w:pStyle w:val="Default"/>
        <w:numPr>
          <w:ilvl w:val="0"/>
          <w:numId w:val="28"/>
        </w:numPr>
        <w:jc w:val="both"/>
        <w:rPr>
          <w:color w:val="auto"/>
        </w:rPr>
      </w:pPr>
      <w:r w:rsidRPr="00EE6756">
        <w:rPr>
          <w:color w:val="auto"/>
        </w:rPr>
        <w:t>Budgetary Management;</w:t>
      </w:r>
    </w:p>
    <w:p w:rsidR="00976AA8" w:rsidRPr="00EE6756" w:rsidRDefault="00976AA8" w:rsidP="00976AA8">
      <w:pPr>
        <w:pStyle w:val="Default"/>
        <w:numPr>
          <w:ilvl w:val="0"/>
          <w:numId w:val="28"/>
        </w:numPr>
        <w:jc w:val="both"/>
        <w:rPr>
          <w:color w:val="auto"/>
        </w:rPr>
      </w:pPr>
      <w:r w:rsidRPr="00EE6756">
        <w:rPr>
          <w:color w:val="auto"/>
        </w:rPr>
        <w:t>Capital Programme;</w:t>
      </w:r>
    </w:p>
    <w:p w:rsidR="00976AA8" w:rsidRPr="00EE6756" w:rsidRDefault="00976AA8" w:rsidP="00976AA8">
      <w:pPr>
        <w:pStyle w:val="Default"/>
        <w:numPr>
          <w:ilvl w:val="0"/>
          <w:numId w:val="28"/>
        </w:numPr>
        <w:jc w:val="both"/>
        <w:rPr>
          <w:color w:val="auto"/>
        </w:rPr>
      </w:pPr>
      <w:r w:rsidRPr="00EE6756">
        <w:rPr>
          <w:color w:val="auto"/>
        </w:rPr>
        <w:t>Balance Sh</w:t>
      </w:r>
      <w:r w:rsidR="00635CC8" w:rsidRPr="00EE6756">
        <w:rPr>
          <w:color w:val="auto"/>
        </w:rPr>
        <w:t>e</w:t>
      </w:r>
      <w:r w:rsidRPr="00EE6756">
        <w:rPr>
          <w:color w:val="auto"/>
        </w:rPr>
        <w:t>et</w:t>
      </w:r>
      <w:r w:rsidR="00635CC8" w:rsidRPr="00EE6756">
        <w:rPr>
          <w:color w:val="auto"/>
        </w:rPr>
        <w:t>, Cash</w:t>
      </w:r>
      <w:r w:rsidRPr="00EE6756">
        <w:rPr>
          <w:color w:val="auto"/>
        </w:rPr>
        <w:t xml:space="preserve"> and Working Capital;</w:t>
      </w:r>
    </w:p>
    <w:p w:rsidR="00976AA8" w:rsidRPr="00EE6756" w:rsidRDefault="00976AA8" w:rsidP="00976AA8">
      <w:pPr>
        <w:pStyle w:val="Default"/>
        <w:numPr>
          <w:ilvl w:val="0"/>
          <w:numId w:val="28"/>
        </w:numPr>
        <w:jc w:val="both"/>
        <w:rPr>
          <w:color w:val="auto"/>
        </w:rPr>
      </w:pPr>
      <w:r w:rsidRPr="00EE6756">
        <w:rPr>
          <w:color w:val="auto"/>
        </w:rPr>
        <w:t>Reserve Drawings and Plan Changes;</w:t>
      </w:r>
    </w:p>
    <w:p w:rsidR="00976AA8" w:rsidRPr="00EE6756" w:rsidRDefault="00976AA8" w:rsidP="00976AA8">
      <w:pPr>
        <w:pStyle w:val="Default"/>
        <w:numPr>
          <w:ilvl w:val="0"/>
          <w:numId w:val="28"/>
        </w:numPr>
        <w:jc w:val="both"/>
        <w:rPr>
          <w:color w:val="auto"/>
        </w:rPr>
      </w:pPr>
      <w:r w:rsidRPr="00EE6756">
        <w:rPr>
          <w:color w:val="auto"/>
        </w:rPr>
        <w:t>Financial Special Measures Update;</w:t>
      </w:r>
    </w:p>
    <w:p w:rsidR="00976AA8" w:rsidRPr="00EE6756" w:rsidRDefault="00031431" w:rsidP="00976AA8">
      <w:pPr>
        <w:pStyle w:val="Default"/>
        <w:numPr>
          <w:ilvl w:val="0"/>
          <w:numId w:val="28"/>
        </w:numPr>
        <w:jc w:val="both"/>
        <w:rPr>
          <w:color w:val="auto"/>
        </w:rPr>
      </w:pPr>
      <w:r w:rsidRPr="00EE6756">
        <w:rPr>
          <w:color w:val="auto"/>
        </w:rPr>
        <w:t>Conclusion - Key Themes, Key Risks &amp; Key Actions</w:t>
      </w:r>
    </w:p>
    <w:p w:rsidR="00976AA8" w:rsidRPr="00EE6756" w:rsidRDefault="00976AA8" w:rsidP="00976AA8">
      <w:pPr>
        <w:pStyle w:val="Default"/>
        <w:jc w:val="both"/>
        <w:rPr>
          <w:color w:val="auto"/>
        </w:rPr>
      </w:pPr>
    </w:p>
    <w:p w:rsidR="00FC0CF6" w:rsidRPr="00EE6756" w:rsidRDefault="002104A4" w:rsidP="00031431">
      <w:pPr>
        <w:pStyle w:val="Default"/>
        <w:jc w:val="both"/>
        <w:rPr>
          <w:color w:val="auto"/>
        </w:rPr>
      </w:pPr>
      <w:r w:rsidRPr="00EE6756">
        <w:rPr>
          <w:color w:val="auto"/>
        </w:rPr>
        <w:t>This report is based upon the revised plan target, agreed with NHSI and submitted by the Trust on the 20</w:t>
      </w:r>
      <w:r w:rsidRPr="00EE6756">
        <w:rPr>
          <w:color w:val="auto"/>
          <w:vertAlign w:val="superscript"/>
        </w:rPr>
        <w:t>th</w:t>
      </w:r>
      <w:r w:rsidRPr="00EE6756">
        <w:rPr>
          <w:color w:val="auto"/>
        </w:rPr>
        <w:t xml:space="preserve"> June. This plan is </w:t>
      </w:r>
      <w:r w:rsidR="009D3090" w:rsidRPr="00EE6756">
        <w:rPr>
          <w:color w:val="auto"/>
        </w:rPr>
        <w:t>compliant</w:t>
      </w:r>
      <w:r w:rsidRPr="00EE6756">
        <w:rPr>
          <w:color w:val="auto"/>
        </w:rPr>
        <w:t xml:space="preserve"> with the control total which the Trust Board formally adopted in June.</w:t>
      </w:r>
    </w:p>
    <w:p w:rsidR="00A01AB6" w:rsidRDefault="00A01AB6">
      <w:pPr>
        <w:spacing w:after="200" w:line="276" w:lineRule="auto"/>
        <w:jc w:val="left"/>
        <w:rPr>
          <w:rFonts w:cs="Arial"/>
          <w:color w:val="000000"/>
          <w:sz w:val="24"/>
          <w:szCs w:val="24"/>
        </w:rPr>
      </w:pPr>
      <w:r>
        <w:br w:type="page"/>
      </w:r>
    </w:p>
    <w:p w:rsidR="00031431" w:rsidRPr="00A01AB6" w:rsidRDefault="00A01AB6" w:rsidP="00A01AB6">
      <w:pPr>
        <w:pStyle w:val="ListParagraph"/>
        <w:numPr>
          <w:ilvl w:val="0"/>
          <w:numId w:val="29"/>
        </w:numPr>
        <w:ind w:hanging="720"/>
        <w:rPr>
          <w:b/>
          <w:sz w:val="24"/>
          <w:szCs w:val="24"/>
        </w:rPr>
      </w:pPr>
      <w:r>
        <w:rPr>
          <w:b/>
          <w:sz w:val="24"/>
          <w:szCs w:val="24"/>
        </w:rPr>
        <w:lastRenderedPageBreak/>
        <w:t>Financial Position</w:t>
      </w:r>
      <w:r w:rsidR="00F542E5">
        <w:rPr>
          <w:b/>
          <w:sz w:val="24"/>
          <w:szCs w:val="24"/>
        </w:rPr>
        <w:t xml:space="preserve"> </w:t>
      </w:r>
      <w:r w:rsidR="008A67D1">
        <w:rPr>
          <w:b/>
          <w:sz w:val="24"/>
          <w:szCs w:val="24"/>
        </w:rPr>
        <w:t>–</w:t>
      </w:r>
      <w:r w:rsidR="00F542E5">
        <w:rPr>
          <w:b/>
          <w:sz w:val="24"/>
          <w:szCs w:val="24"/>
        </w:rPr>
        <w:t xml:space="preserve"> Overview</w:t>
      </w:r>
      <w:r w:rsidR="008A67D1">
        <w:rPr>
          <w:b/>
          <w:sz w:val="24"/>
          <w:szCs w:val="24"/>
        </w:rPr>
        <w:t xml:space="preserve"> M0</w:t>
      </w:r>
      <w:r w:rsidR="00CA26A7">
        <w:rPr>
          <w:b/>
          <w:sz w:val="24"/>
          <w:szCs w:val="24"/>
        </w:rPr>
        <w:t>4</w:t>
      </w:r>
      <w:r>
        <w:rPr>
          <w:b/>
          <w:sz w:val="24"/>
          <w:szCs w:val="24"/>
        </w:rPr>
        <w:t>:</w:t>
      </w:r>
    </w:p>
    <w:p w:rsidR="00031431" w:rsidRDefault="00031431" w:rsidP="00F06FDC">
      <w:pPr>
        <w:rPr>
          <w:b/>
          <w:sz w:val="24"/>
          <w:szCs w:val="24"/>
        </w:rPr>
      </w:pPr>
    </w:p>
    <w:tbl>
      <w:tblPr>
        <w:tblW w:w="4313" w:type="pct"/>
        <w:tblInd w:w="817" w:type="dxa"/>
        <w:tblCellMar>
          <w:left w:w="0" w:type="dxa"/>
          <w:right w:w="0" w:type="dxa"/>
        </w:tblCellMar>
        <w:tblLook w:val="04A0" w:firstRow="1" w:lastRow="0" w:firstColumn="1" w:lastColumn="0" w:noHBand="0" w:noVBand="1"/>
      </w:tblPr>
      <w:tblGrid>
        <w:gridCol w:w="8044"/>
        <w:gridCol w:w="1170"/>
      </w:tblGrid>
      <w:tr w:rsidR="008A67D1" w:rsidRPr="00A01AB6" w:rsidTr="00EE6756">
        <w:trPr>
          <w:trHeight w:val="430"/>
        </w:trPr>
        <w:tc>
          <w:tcPr>
            <w:tcW w:w="4365" w:type="pct"/>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rsidR="008A67D1" w:rsidRPr="00A01AB6" w:rsidRDefault="008A67D1" w:rsidP="00EE6756">
            <w:pPr>
              <w:jc w:val="left"/>
              <w:rPr>
                <w:rFonts w:eastAsia="Times New Roman" w:cs="Arial"/>
                <w:sz w:val="24"/>
                <w:szCs w:val="24"/>
                <w:lang w:eastAsia="en-GB"/>
              </w:rPr>
            </w:pPr>
          </w:p>
        </w:tc>
        <w:tc>
          <w:tcPr>
            <w:tcW w:w="635" w:type="pct"/>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rsidR="008A67D1" w:rsidRPr="00A01AB6" w:rsidRDefault="008A67D1" w:rsidP="00CA26A7">
            <w:pPr>
              <w:spacing w:line="276" w:lineRule="auto"/>
              <w:jc w:val="center"/>
              <w:rPr>
                <w:rFonts w:eastAsia="Times New Roman" w:cs="Arial"/>
                <w:sz w:val="24"/>
                <w:szCs w:val="24"/>
                <w:lang w:eastAsia="en-GB"/>
              </w:rPr>
            </w:pPr>
            <w:r>
              <w:rPr>
                <w:rFonts w:eastAsia="Times New Roman" w:cs="Arial"/>
                <w:b/>
                <w:bCs/>
                <w:color w:val="000000"/>
                <w:kern w:val="24"/>
                <w:sz w:val="24"/>
                <w:szCs w:val="24"/>
                <w:lang w:eastAsia="en-GB"/>
              </w:rPr>
              <w:t>M</w:t>
            </w:r>
            <w:r w:rsidR="00CA26A7">
              <w:rPr>
                <w:rFonts w:eastAsia="Times New Roman" w:cs="Arial"/>
                <w:b/>
                <w:bCs/>
                <w:color w:val="000000"/>
                <w:kern w:val="24"/>
                <w:sz w:val="24"/>
                <w:szCs w:val="24"/>
                <w:lang w:eastAsia="en-GB"/>
              </w:rPr>
              <w:t>4</w:t>
            </w:r>
            <w:r>
              <w:rPr>
                <w:rFonts w:eastAsia="Times New Roman" w:cs="Arial"/>
                <w:b/>
                <w:bCs/>
                <w:color w:val="000000"/>
                <w:kern w:val="24"/>
                <w:sz w:val="24"/>
                <w:szCs w:val="24"/>
                <w:lang w:eastAsia="en-GB"/>
              </w:rPr>
              <w:t xml:space="preserve"> £m</w:t>
            </w: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hideMark/>
          </w:tcPr>
          <w:p w:rsidR="00CA26A7" w:rsidRPr="00A01AB6" w:rsidRDefault="00CA26A7" w:rsidP="00EE6756">
            <w:pPr>
              <w:spacing w:line="276" w:lineRule="auto"/>
              <w:rPr>
                <w:rFonts w:eastAsia="Times New Roman" w:cs="Arial"/>
                <w:sz w:val="24"/>
                <w:szCs w:val="24"/>
                <w:lang w:eastAsia="en-GB"/>
              </w:rPr>
            </w:pPr>
            <w:r>
              <w:rPr>
                <w:rFonts w:eastAsia="Times New Roman" w:cs="Arial"/>
                <w:b/>
                <w:color w:val="000000"/>
                <w:kern w:val="24"/>
                <w:sz w:val="24"/>
                <w:szCs w:val="24"/>
                <w:lang w:eastAsia="en-GB"/>
              </w:rPr>
              <w:t>YTD Actual</w:t>
            </w:r>
            <w:r w:rsidRPr="00DE2CD7">
              <w:rPr>
                <w:rFonts w:eastAsia="Times New Roman" w:cs="Arial"/>
                <w:b/>
                <w:color w:val="000000"/>
                <w:kern w:val="24"/>
                <w:sz w:val="24"/>
                <w:szCs w:val="24"/>
                <w:lang w:eastAsia="en-GB"/>
              </w:rPr>
              <w:t xml:space="preserve"> I&amp;E Surplus</w:t>
            </w: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vAlign w:val="center"/>
            <w:hideMark/>
          </w:tcPr>
          <w:p w:rsidR="00CA26A7" w:rsidRPr="00A01AB6" w:rsidRDefault="00CA26A7" w:rsidP="00CA26A7">
            <w:pPr>
              <w:spacing w:line="276" w:lineRule="auto"/>
              <w:jc w:val="center"/>
              <w:rPr>
                <w:rFonts w:eastAsia="Times New Roman" w:cs="Arial"/>
                <w:b/>
                <w:sz w:val="24"/>
                <w:szCs w:val="24"/>
                <w:lang w:eastAsia="en-GB"/>
              </w:rPr>
            </w:pPr>
            <w:r w:rsidRPr="00662C75">
              <w:rPr>
                <w:rFonts w:eastAsia="Times New Roman" w:cs="Arial"/>
                <w:b/>
                <w:color w:val="FF0000"/>
                <w:kern w:val="24"/>
                <w:sz w:val="24"/>
                <w:szCs w:val="24"/>
                <w:lang w:eastAsia="en-GB"/>
              </w:rPr>
              <w:t>(</w:t>
            </w:r>
            <w:r>
              <w:rPr>
                <w:rFonts w:eastAsia="Times New Roman" w:cs="Arial"/>
                <w:b/>
                <w:color w:val="FF0000"/>
                <w:kern w:val="24"/>
                <w:sz w:val="24"/>
                <w:szCs w:val="24"/>
                <w:lang w:eastAsia="en-GB"/>
              </w:rPr>
              <w:t>19</w:t>
            </w:r>
            <w:r w:rsidRPr="00662C75">
              <w:rPr>
                <w:rFonts w:eastAsia="Times New Roman" w:cs="Arial"/>
                <w:b/>
                <w:color w:val="FF0000"/>
                <w:kern w:val="24"/>
                <w:sz w:val="24"/>
                <w:szCs w:val="24"/>
                <w:lang w:eastAsia="en-GB"/>
              </w:rPr>
              <w:t>.</w:t>
            </w:r>
            <w:r>
              <w:rPr>
                <w:rFonts w:eastAsia="Times New Roman" w:cs="Arial"/>
                <w:b/>
                <w:color w:val="FF0000"/>
                <w:kern w:val="24"/>
                <w:sz w:val="24"/>
                <w:szCs w:val="24"/>
                <w:lang w:eastAsia="en-GB"/>
              </w:rPr>
              <w:t>18</w:t>
            </w:r>
            <w:r w:rsidRPr="00662C75">
              <w:rPr>
                <w:rFonts w:eastAsia="Times New Roman" w:cs="Arial"/>
                <w:b/>
                <w:color w:val="FF0000"/>
                <w:kern w:val="24"/>
                <w:sz w:val="24"/>
                <w:szCs w:val="24"/>
                <w:lang w:eastAsia="en-GB"/>
              </w:rPr>
              <w:t>)</w:t>
            </w: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rsidR="00CA26A7" w:rsidRPr="00A01AB6" w:rsidRDefault="00CA26A7" w:rsidP="00EE6756">
            <w:pPr>
              <w:spacing w:line="276" w:lineRule="auto"/>
              <w:rPr>
                <w:rFonts w:eastAsia="Times New Roman" w:cs="Arial"/>
                <w:sz w:val="24"/>
                <w:szCs w:val="24"/>
                <w:lang w:eastAsia="en-GB"/>
              </w:rPr>
            </w:pPr>
            <w:r>
              <w:rPr>
                <w:rFonts w:eastAsia="Times New Roman" w:cs="Arial"/>
                <w:b/>
                <w:bCs/>
                <w:color w:val="000000"/>
                <w:kern w:val="24"/>
                <w:sz w:val="24"/>
                <w:szCs w:val="24"/>
                <w:lang w:eastAsia="en-GB"/>
              </w:rPr>
              <w:t>YTD Target I&amp;</w:t>
            </w:r>
            <w:r w:rsidRPr="00A01AB6">
              <w:rPr>
                <w:rFonts w:eastAsia="Times New Roman" w:cs="Arial"/>
                <w:b/>
                <w:bCs/>
                <w:color w:val="000000"/>
                <w:kern w:val="24"/>
                <w:sz w:val="24"/>
                <w:szCs w:val="24"/>
                <w:lang w:eastAsia="en-GB"/>
              </w:rPr>
              <w:t>E Account Surplus/</w:t>
            </w:r>
            <w:r w:rsidRPr="00A01AB6">
              <w:rPr>
                <w:rFonts w:eastAsia="Times New Roman" w:cs="Arial"/>
                <w:b/>
                <w:bCs/>
                <w:color w:val="FF0000"/>
                <w:kern w:val="24"/>
                <w:sz w:val="24"/>
                <w:szCs w:val="24"/>
                <w:lang w:eastAsia="en-GB"/>
              </w:rPr>
              <w:t>(Deficit)</w:t>
            </w: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vAlign w:val="center"/>
            <w:hideMark/>
          </w:tcPr>
          <w:p w:rsidR="00CA26A7" w:rsidRPr="00A01AB6" w:rsidRDefault="00CA26A7" w:rsidP="00CA26A7">
            <w:pPr>
              <w:spacing w:line="276" w:lineRule="auto"/>
              <w:jc w:val="center"/>
              <w:rPr>
                <w:rFonts w:eastAsia="Times New Roman" w:cs="Arial"/>
                <w:sz w:val="24"/>
                <w:szCs w:val="24"/>
                <w:lang w:eastAsia="en-GB"/>
              </w:rPr>
            </w:pPr>
            <w:r>
              <w:rPr>
                <w:rFonts w:eastAsia="Times New Roman" w:cs="Arial"/>
                <w:b/>
                <w:bCs/>
                <w:color w:val="FF0000"/>
                <w:kern w:val="24"/>
                <w:sz w:val="24"/>
                <w:szCs w:val="24"/>
                <w:lang w:eastAsia="en-GB"/>
              </w:rPr>
              <w:t>(15.77)</w:t>
            </w: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rsidR="00CA26A7" w:rsidRPr="00A01AB6" w:rsidRDefault="00CA26A7" w:rsidP="00EE6756">
            <w:pPr>
              <w:spacing w:line="276" w:lineRule="auto"/>
              <w:rPr>
                <w:rFonts w:eastAsia="Times New Roman" w:cs="Arial"/>
                <w:sz w:val="24"/>
                <w:szCs w:val="24"/>
                <w:lang w:eastAsia="en-GB"/>
              </w:rPr>
            </w:pPr>
            <w:r>
              <w:rPr>
                <w:rFonts w:eastAsia="Times New Roman" w:cs="Arial"/>
                <w:b/>
                <w:bCs/>
                <w:color w:val="000000"/>
                <w:kern w:val="24"/>
                <w:sz w:val="24"/>
                <w:szCs w:val="24"/>
                <w:lang w:eastAsia="en-GB"/>
              </w:rPr>
              <w:t xml:space="preserve">YTD </w:t>
            </w:r>
            <w:r w:rsidRPr="00A01AB6">
              <w:rPr>
                <w:rFonts w:eastAsia="Times New Roman" w:cs="Arial"/>
                <w:b/>
                <w:bCs/>
                <w:color w:val="000000"/>
                <w:kern w:val="24"/>
                <w:sz w:val="24"/>
                <w:szCs w:val="24"/>
                <w:lang w:eastAsia="en-GB"/>
              </w:rPr>
              <w:t xml:space="preserve">Variance From </w:t>
            </w:r>
            <w:r>
              <w:rPr>
                <w:rFonts w:eastAsia="Times New Roman" w:cs="Arial"/>
                <w:b/>
                <w:bCs/>
                <w:color w:val="000000"/>
                <w:kern w:val="24"/>
                <w:sz w:val="24"/>
                <w:szCs w:val="24"/>
                <w:lang w:eastAsia="en-GB"/>
              </w:rPr>
              <w:t>Target</w:t>
            </w:r>
            <w:r w:rsidRPr="00A01AB6">
              <w:rPr>
                <w:rFonts w:eastAsia="Times New Roman" w:cs="Arial"/>
                <w:b/>
                <w:bCs/>
                <w:color w:val="000000"/>
                <w:kern w:val="24"/>
                <w:sz w:val="24"/>
                <w:szCs w:val="24"/>
                <w:lang w:eastAsia="en-GB"/>
              </w:rPr>
              <w:t xml:space="preserve"> – I&amp;E Surplus/</w:t>
            </w:r>
            <w:r w:rsidRPr="00A01AB6">
              <w:rPr>
                <w:rFonts w:eastAsia="Times New Roman" w:cs="Arial"/>
                <w:b/>
                <w:bCs/>
                <w:color w:val="FF0000"/>
                <w:kern w:val="24"/>
                <w:sz w:val="24"/>
                <w:szCs w:val="24"/>
                <w:lang w:eastAsia="en-GB"/>
              </w:rPr>
              <w:t>(Deficit)</w:t>
            </w:r>
          </w:p>
        </w:tc>
        <w:tc>
          <w:tcPr>
            <w:tcW w:w="635" w:type="pct"/>
            <w:tcBorders>
              <w:top w:val="single" w:sz="8" w:space="0" w:color="000000"/>
              <w:left w:val="nil"/>
              <w:bottom w:val="nil"/>
              <w:right w:val="single" w:sz="8" w:space="0" w:color="000000"/>
            </w:tcBorders>
            <w:shd w:val="clear" w:color="auto" w:fill="auto"/>
            <w:tcMar>
              <w:top w:w="15" w:type="dxa"/>
              <w:left w:w="108" w:type="dxa"/>
              <w:bottom w:w="0" w:type="dxa"/>
              <w:right w:w="108" w:type="dxa"/>
            </w:tcMar>
            <w:vAlign w:val="center"/>
            <w:hideMark/>
          </w:tcPr>
          <w:p w:rsidR="00CA26A7" w:rsidRPr="00A01AB6" w:rsidRDefault="00CA26A7" w:rsidP="00CA26A7">
            <w:pPr>
              <w:spacing w:line="276" w:lineRule="auto"/>
              <w:jc w:val="center"/>
              <w:rPr>
                <w:rFonts w:eastAsia="Times New Roman" w:cs="Arial"/>
                <w:sz w:val="24"/>
                <w:szCs w:val="24"/>
                <w:lang w:eastAsia="en-GB"/>
              </w:rPr>
            </w:pPr>
            <w:r w:rsidRPr="00A23703">
              <w:rPr>
                <w:rFonts w:eastAsia="Times New Roman" w:cs="Arial"/>
                <w:b/>
                <w:bCs/>
                <w:color w:val="FF0000"/>
                <w:kern w:val="24"/>
                <w:sz w:val="24"/>
                <w:szCs w:val="24"/>
                <w:lang w:eastAsia="en-GB"/>
              </w:rPr>
              <w:t>(</w:t>
            </w:r>
            <w:r>
              <w:rPr>
                <w:rFonts w:eastAsia="Times New Roman" w:cs="Arial"/>
                <w:b/>
                <w:bCs/>
                <w:color w:val="FF0000"/>
                <w:kern w:val="24"/>
                <w:sz w:val="24"/>
                <w:szCs w:val="24"/>
                <w:lang w:eastAsia="en-GB"/>
              </w:rPr>
              <w:t>3</w:t>
            </w:r>
            <w:r w:rsidRPr="00A23703">
              <w:rPr>
                <w:rFonts w:eastAsia="Times New Roman" w:cs="Arial"/>
                <w:b/>
                <w:bCs/>
                <w:color w:val="FF0000"/>
                <w:kern w:val="24"/>
                <w:sz w:val="24"/>
                <w:szCs w:val="24"/>
                <w:lang w:eastAsia="en-GB"/>
              </w:rPr>
              <w:t>.</w:t>
            </w:r>
            <w:r>
              <w:rPr>
                <w:rFonts w:eastAsia="Times New Roman" w:cs="Arial"/>
                <w:b/>
                <w:bCs/>
                <w:color w:val="FF0000"/>
                <w:kern w:val="24"/>
                <w:sz w:val="24"/>
                <w:szCs w:val="24"/>
                <w:lang w:eastAsia="en-GB"/>
              </w:rPr>
              <w:t>41</w:t>
            </w:r>
            <w:r w:rsidRPr="00A23703">
              <w:rPr>
                <w:rFonts w:eastAsia="Times New Roman" w:cs="Arial"/>
                <w:b/>
                <w:bCs/>
                <w:color w:val="FF0000"/>
                <w:kern w:val="24"/>
                <w:sz w:val="24"/>
                <w:szCs w:val="24"/>
                <w:lang w:eastAsia="en-GB"/>
              </w:rPr>
              <w:t>)</w:t>
            </w:r>
          </w:p>
        </w:tc>
      </w:tr>
      <w:tr w:rsidR="008A67D1" w:rsidRPr="00A01AB6" w:rsidTr="00EE6756">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tcPr>
          <w:p w:rsidR="008A67D1" w:rsidRPr="00A01AB6" w:rsidRDefault="008A67D1" w:rsidP="00EE6756">
            <w:pPr>
              <w:spacing w:line="276" w:lineRule="auto"/>
              <w:rPr>
                <w:rFonts w:eastAsia="Times New Roman" w:cs="Arial"/>
                <w:b/>
                <w:bCs/>
                <w:color w:val="000000"/>
                <w:kern w:val="24"/>
                <w:sz w:val="24"/>
                <w:szCs w:val="24"/>
                <w:lang w:eastAsia="en-GB"/>
              </w:rPr>
            </w:pP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tcPr>
          <w:p w:rsidR="008A67D1" w:rsidRDefault="008A67D1" w:rsidP="00EE6756">
            <w:pPr>
              <w:spacing w:line="276" w:lineRule="auto"/>
              <w:jc w:val="center"/>
              <w:rPr>
                <w:rFonts w:eastAsia="Times New Roman" w:cs="Arial"/>
                <w:b/>
                <w:bCs/>
                <w:color w:val="FF0000"/>
                <w:kern w:val="24"/>
                <w:sz w:val="24"/>
                <w:szCs w:val="24"/>
                <w:lang w:eastAsia="en-GB"/>
              </w:rPr>
            </w:pP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hideMark/>
          </w:tcPr>
          <w:p w:rsidR="00CA26A7" w:rsidRPr="00A01AB6" w:rsidRDefault="00CA26A7" w:rsidP="00CA26A7">
            <w:pPr>
              <w:spacing w:line="276" w:lineRule="auto"/>
              <w:rPr>
                <w:rFonts w:eastAsia="Times New Roman" w:cs="Arial"/>
                <w:sz w:val="24"/>
                <w:szCs w:val="24"/>
                <w:lang w:eastAsia="en-GB"/>
              </w:rPr>
            </w:pPr>
            <w:r>
              <w:rPr>
                <w:rFonts w:eastAsia="Times New Roman" w:cs="Arial"/>
                <w:b/>
                <w:bCs/>
                <w:color w:val="000000"/>
                <w:kern w:val="24"/>
                <w:sz w:val="24"/>
                <w:szCs w:val="24"/>
                <w:lang w:eastAsia="en-GB"/>
              </w:rPr>
              <w:t>Cash Balance at 31</w:t>
            </w:r>
            <w:r w:rsidRPr="00CA26A7">
              <w:rPr>
                <w:rFonts w:eastAsia="Times New Roman" w:cs="Arial"/>
                <w:b/>
                <w:bCs/>
                <w:color w:val="000000"/>
                <w:kern w:val="24"/>
                <w:sz w:val="24"/>
                <w:szCs w:val="24"/>
                <w:vertAlign w:val="superscript"/>
                <w:lang w:eastAsia="en-GB"/>
              </w:rPr>
              <w:t>st</w:t>
            </w:r>
            <w:r>
              <w:rPr>
                <w:rFonts w:eastAsia="Times New Roman" w:cs="Arial"/>
                <w:b/>
                <w:bCs/>
                <w:color w:val="000000"/>
                <w:kern w:val="24"/>
                <w:sz w:val="24"/>
                <w:szCs w:val="24"/>
                <w:lang w:eastAsia="en-GB"/>
              </w:rPr>
              <w:t xml:space="preserve"> July</w:t>
            </w: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vAlign w:val="center"/>
            <w:hideMark/>
          </w:tcPr>
          <w:p w:rsidR="00CA26A7" w:rsidRPr="001E575F" w:rsidRDefault="00CA26A7" w:rsidP="00CA26A7">
            <w:pPr>
              <w:spacing w:line="276" w:lineRule="auto"/>
              <w:jc w:val="center"/>
              <w:rPr>
                <w:rFonts w:eastAsia="Times New Roman" w:cs="Arial"/>
                <w:b/>
                <w:bCs/>
                <w:color w:val="000000"/>
                <w:kern w:val="24"/>
                <w:sz w:val="24"/>
                <w:szCs w:val="24"/>
                <w:lang w:eastAsia="en-GB"/>
              </w:rPr>
            </w:pPr>
            <w:r>
              <w:rPr>
                <w:rFonts w:eastAsia="Times New Roman" w:cs="Arial"/>
                <w:b/>
                <w:bCs/>
                <w:color w:val="000000"/>
                <w:kern w:val="24"/>
                <w:sz w:val="24"/>
                <w:szCs w:val="24"/>
                <w:lang w:eastAsia="en-GB"/>
              </w:rPr>
              <w:t>11.96</w:t>
            </w: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hideMark/>
          </w:tcPr>
          <w:p w:rsidR="00CA26A7" w:rsidRPr="00A01AB6" w:rsidRDefault="00CA26A7" w:rsidP="00EE6756">
            <w:pPr>
              <w:spacing w:line="276" w:lineRule="auto"/>
              <w:rPr>
                <w:rFonts w:eastAsia="Times New Roman" w:cs="Arial"/>
                <w:sz w:val="24"/>
                <w:szCs w:val="24"/>
                <w:lang w:eastAsia="en-GB"/>
              </w:rPr>
            </w:pPr>
            <w:r w:rsidRPr="00A01AB6">
              <w:rPr>
                <w:rFonts w:eastAsia="Times New Roman" w:cs="Arial"/>
                <w:color w:val="000000"/>
                <w:kern w:val="24"/>
                <w:sz w:val="24"/>
                <w:szCs w:val="24"/>
                <w:lang w:eastAsia="en-GB"/>
              </w:rPr>
              <w:t>Set Minimum Cash Balance (after IRSL support)</w:t>
            </w:r>
          </w:p>
        </w:tc>
        <w:tc>
          <w:tcPr>
            <w:tcW w:w="635" w:type="pct"/>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26A7" w:rsidRPr="00A01AB6" w:rsidRDefault="00CA26A7" w:rsidP="00CA26A7">
            <w:pPr>
              <w:spacing w:line="276" w:lineRule="auto"/>
              <w:jc w:val="center"/>
              <w:rPr>
                <w:rFonts w:eastAsia="Times New Roman" w:cs="Arial"/>
                <w:sz w:val="24"/>
                <w:szCs w:val="24"/>
                <w:lang w:eastAsia="en-GB"/>
              </w:rPr>
            </w:pPr>
            <w:r w:rsidRPr="00A01AB6">
              <w:rPr>
                <w:rFonts w:eastAsia="Times New Roman" w:cs="Arial"/>
                <w:color w:val="000000"/>
                <w:kern w:val="24"/>
                <w:sz w:val="24"/>
                <w:szCs w:val="24"/>
                <w:lang w:eastAsia="en-GB"/>
              </w:rPr>
              <w:t>1.90</w:t>
            </w:r>
          </w:p>
        </w:tc>
      </w:tr>
      <w:tr w:rsidR="00CA26A7" w:rsidRPr="00A01AB6" w:rsidTr="00CA26A7">
        <w:trPr>
          <w:trHeight w:val="430"/>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hideMark/>
          </w:tcPr>
          <w:p w:rsidR="00CA26A7" w:rsidRPr="00A01AB6" w:rsidRDefault="00CA26A7" w:rsidP="00EE6756">
            <w:pPr>
              <w:spacing w:line="276" w:lineRule="auto"/>
              <w:rPr>
                <w:rFonts w:eastAsia="Times New Roman" w:cs="Arial"/>
                <w:sz w:val="24"/>
                <w:szCs w:val="24"/>
                <w:lang w:eastAsia="en-GB"/>
              </w:rPr>
            </w:pPr>
            <w:r w:rsidRPr="00A01AB6">
              <w:rPr>
                <w:rFonts w:eastAsia="Times New Roman" w:cs="Arial"/>
                <w:b/>
                <w:bCs/>
                <w:color w:val="000000"/>
                <w:kern w:val="24"/>
                <w:sz w:val="24"/>
                <w:szCs w:val="24"/>
                <w:lang w:eastAsia="en-GB"/>
              </w:rPr>
              <w:t>Variance From Minimum Cash Balance</w:t>
            </w:r>
          </w:p>
        </w:tc>
        <w:tc>
          <w:tcPr>
            <w:tcW w:w="635" w:type="pct"/>
            <w:tcBorders>
              <w:top w:val="single" w:sz="8" w:space="0" w:color="000000"/>
              <w:left w:val="nil"/>
              <w:bottom w:val="nil"/>
              <w:right w:val="single" w:sz="8" w:space="0" w:color="000000"/>
            </w:tcBorders>
            <w:shd w:val="clear" w:color="auto" w:fill="auto"/>
            <w:tcMar>
              <w:top w:w="15" w:type="dxa"/>
              <w:left w:w="108" w:type="dxa"/>
              <w:bottom w:w="0" w:type="dxa"/>
              <w:right w:w="108" w:type="dxa"/>
            </w:tcMar>
            <w:vAlign w:val="center"/>
            <w:hideMark/>
          </w:tcPr>
          <w:p w:rsidR="00CA26A7" w:rsidRPr="00A01AB6" w:rsidRDefault="00CA26A7" w:rsidP="00CA26A7">
            <w:pPr>
              <w:spacing w:line="276" w:lineRule="auto"/>
              <w:jc w:val="center"/>
              <w:rPr>
                <w:rFonts w:eastAsia="Times New Roman" w:cs="Arial"/>
                <w:sz w:val="24"/>
                <w:szCs w:val="24"/>
                <w:lang w:eastAsia="en-GB"/>
              </w:rPr>
            </w:pPr>
            <w:r>
              <w:rPr>
                <w:rFonts w:eastAsia="Times New Roman" w:cs="Arial"/>
                <w:b/>
                <w:bCs/>
                <w:color w:val="000000"/>
                <w:kern w:val="24"/>
                <w:sz w:val="24"/>
                <w:szCs w:val="24"/>
                <w:lang w:eastAsia="en-GB"/>
              </w:rPr>
              <w:t>10.06</w:t>
            </w:r>
          </w:p>
        </w:tc>
      </w:tr>
      <w:tr w:rsidR="008A67D1" w:rsidRPr="00A01AB6" w:rsidTr="00EE6756">
        <w:trPr>
          <w:trHeight w:val="394"/>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rsidR="008A67D1" w:rsidRPr="00A01AB6" w:rsidRDefault="008A67D1" w:rsidP="00EE6756">
            <w:pPr>
              <w:jc w:val="left"/>
              <w:rPr>
                <w:rFonts w:eastAsia="Times New Roman" w:cs="Arial"/>
                <w:sz w:val="24"/>
                <w:szCs w:val="24"/>
                <w:lang w:eastAsia="en-GB"/>
              </w:rPr>
            </w:pP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hideMark/>
          </w:tcPr>
          <w:p w:rsidR="008A67D1" w:rsidRPr="00A01AB6" w:rsidRDefault="008A67D1" w:rsidP="00EE6756">
            <w:pPr>
              <w:jc w:val="left"/>
              <w:rPr>
                <w:rFonts w:eastAsia="Times New Roman" w:cs="Arial"/>
                <w:sz w:val="24"/>
                <w:szCs w:val="24"/>
                <w:lang w:eastAsia="en-GB"/>
              </w:rPr>
            </w:pPr>
          </w:p>
        </w:tc>
      </w:tr>
      <w:tr w:rsidR="00CA26A7" w:rsidRPr="00A01AB6" w:rsidTr="00CA26A7">
        <w:trPr>
          <w:trHeight w:val="394"/>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vAlign w:val="center"/>
          </w:tcPr>
          <w:p w:rsidR="00CA26A7" w:rsidRDefault="00CA26A7" w:rsidP="00EE6756">
            <w:pPr>
              <w:spacing w:line="276" w:lineRule="auto"/>
              <w:rPr>
                <w:rFonts w:eastAsia="Calibri" w:cs="Times New Roman"/>
                <w:b/>
                <w:bCs/>
                <w:color w:val="000000"/>
                <w:kern w:val="24"/>
                <w:sz w:val="24"/>
                <w:szCs w:val="24"/>
                <w:lang w:eastAsia="en-GB"/>
              </w:rPr>
            </w:pPr>
            <w:r>
              <w:rPr>
                <w:rFonts w:eastAsia="Calibri" w:cs="Times New Roman"/>
                <w:b/>
                <w:bCs/>
                <w:color w:val="000000"/>
                <w:kern w:val="24"/>
                <w:sz w:val="24"/>
                <w:szCs w:val="24"/>
                <w:lang w:eastAsia="en-GB"/>
              </w:rPr>
              <w:t>In</w:t>
            </w:r>
            <w:r w:rsidRPr="00A01AB6">
              <w:rPr>
                <w:rFonts w:eastAsia="Calibri" w:cs="Times New Roman"/>
                <w:b/>
                <w:bCs/>
                <w:color w:val="000000"/>
                <w:kern w:val="24"/>
                <w:sz w:val="24"/>
                <w:szCs w:val="24"/>
                <w:lang w:eastAsia="en-GB"/>
              </w:rPr>
              <w:t xml:space="preserve"> </w:t>
            </w:r>
            <w:r>
              <w:rPr>
                <w:rFonts w:eastAsia="Calibri" w:cs="Times New Roman"/>
                <w:b/>
                <w:bCs/>
                <w:color w:val="000000"/>
                <w:kern w:val="24"/>
                <w:sz w:val="24"/>
                <w:szCs w:val="24"/>
                <w:lang w:eastAsia="en-GB"/>
              </w:rPr>
              <w:t xml:space="preserve">Month </w:t>
            </w:r>
            <w:r w:rsidRPr="00A01AB6">
              <w:rPr>
                <w:rFonts w:eastAsia="Calibri" w:cs="Times New Roman"/>
                <w:b/>
                <w:bCs/>
                <w:color w:val="000000"/>
                <w:kern w:val="24"/>
                <w:sz w:val="24"/>
                <w:szCs w:val="24"/>
                <w:lang w:eastAsia="en-GB"/>
              </w:rPr>
              <w:t xml:space="preserve">Net Loans </w:t>
            </w:r>
            <w:r w:rsidRPr="00A01AB6">
              <w:rPr>
                <w:rFonts w:eastAsia="Calibri" w:cs="Times New Roman"/>
                <w:b/>
                <w:bCs/>
                <w:color w:val="FF0000"/>
                <w:kern w:val="24"/>
                <w:sz w:val="24"/>
                <w:szCs w:val="24"/>
                <w:lang w:eastAsia="en-GB"/>
              </w:rPr>
              <w:t>(Drawdown)</w:t>
            </w:r>
            <w:r w:rsidRPr="00A01AB6">
              <w:rPr>
                <w:rFonts w:eastAsia="Calibri" w:cs="Times New Roman"/>
                <w:b/>
                <w:bCs/>
                <w:kern w:val="24"/>
                <w:sz w:val="24"/>
                <w:szCs w:val="24"/>
                <w:lang w:eastAsia="en-GB"/>
              </w:rPr>
              <w:t>/</w:t>
            </w:r>
            <w:r>
              <w:rPr>
                <w:rFonts w:eastAsia="Calibri" w:cs="Times New Roman"/>
                <w:b/>
                <w:bCs/>
                <w:color w:val="000000"/>
                <w:kern w:val="24"/>
                <w:sz w:val="24"/>
                <w:szCs w:val="24"/>
                <w:lang w:eastAsia="en-GB"/>
              </w:rPr>
              <w:t>Repayment</w:t>
            </w: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vAlign w:val="center"/>
          </w:tcPr>
          <w:p w:rsidR="00CA26A7" w:rsidRDefault="00CA26A7" w:rsidP="00CA26A7">
            <w:pPr>
              <w:spacing w:line="276" w:lineRule="auto"/>
              <w:jc w:val="center"/>
              <w:rPr>
                <w:rFonts w:cs="Arial"/>
                <w:b/>
                <w:bCs/>
                <w:color w:val="FF0000"/>
                <w:sz w:val="24"/>
                <w:szCs w:val="24"/>
                <w:lang w:eastAsia="en-GB"/>
              </w:rPr>
            </w:pPr>
            <w:r>
              <w:rPr>
                <w:b/>
                <w:bCs/>
                <w:color w:val="FF0000"/>
                <w:sz w:val="24"/>
                <w:szCs w:val="24"/>
                <w:lang w:eastAsia="en-GB"/>
              </w:rPr>
              <w:t>(4.61)</w:t>
            </w:r>
          </w:p>
        </w:tc>
      </w:tr>
      <w:tr w:rsidR="00CA26A7" w:rsidRPr="00A01AB6" w:rsidTr="00CA26A7">
        <w:trPr>
          <w:trHeight w:val="394"/>
        </w:trPr>
        <w:tc>
          <w:tcPr>
            <w:tcW w:w="4365" w:type="pct"/>
            <w:tcBorders>
              <w:top w:val="nil"/>
              <w:left w:val="single" w:sz="8" w:space="0" w:color="000000"/>
              <w:bottom w:val="nil"/>
              <w:right w:val="nil"/>
            </w:tcBorders>
            <w:shd w:val="clear" w:color="auto" w:fill="auto"/>
            <w:tcMar>
              <w:top w:w="15" w:type="dxa"/>
              <w:left w:w="108" w:type="dxa"/>
              <w:bottom w:w="0" w:type="dxa"/>
              <w:right w:w="108" w:type="dxa"/>
            </w:tcMar>
            <w:vAlign w:val="center"/>
            <w:hideMark/>
          </w:tcPr>
          <w:p w:rsidR="00CA26A7" w:rsidRPr="00A01AB6" w:rsidRDefault="00CA26A7" w:rsidP="00EE6756">
            <w:pPr>
              <w:spacing w:line="276" w:lineRule="auto"/>
              <w:rPr>
                <w:rFonts w:eastAsia="Times New Roman" w:cs="Arial"/>
                <w:sz w:val="24"/>
                <w:szCs w:val="24"/>
                <w:lang w:eastAsia="en-GB"/>
              </w:rPr>
            </w:pPr>
            <w:r>
              <w:rPr>
                <w:rFonts w:eastAsia="Calibri" w:cs="Times New Roman"/>
                <w:b/>
                <w:bCs/>
                <w:color w:val="000000"/>
                <w:kern w:val="24"/>
                <w:sz w:val="24"/>
                <w:szCs w:val="24"/>
                <w:lang w:eastAsia="en-GB"/>
              </w:rPr>
              <w:t xml:space="preserve">YTD </w:t>
            </w:r>
            <w:r w:rsidRPr="00A01AB6">
              <w:rPr>
                <w:rFonts w:eastAsia="Calibri" w:cs="Times New Roman"/>
                <w:b/>
                <w:bCs/>
                <w:color w:val="000000"/>
                <w:kern w:val="24"/>
                <w:sz w:val="24"/>
                <w:szCs w:val="24"/>
                <w:lang w:eastAsia="en-GB"/>
              </w:rPr>
              <w:t xml:space="preserve">Net Loans </w:t>
            </w:r>
            <w:r w:rsidRPr="00A01AB6">
              <w:rPr>
                <w:rFonts w:eastAsia="Calibri" w:cs="Times New Roman"/>
                <w:b/>
                <w:bCs/>
                <w:color w:val="FF0000"/>
                <w:kern w:val="24"/>
                <w:sz w:val="24"/>
                <w:szCs w:val="24"/>
                <w:lang w:eastAsia="en-GB"/>
              </w:rPr>
              <w:t>(Drawdown)</w:t>
            </w:r>
            <w:r w:rsidRPr="00A01AB6">
              <w:rPr>
                <w:rFonts w:eastAsia="Calibri" w:cs="Times New Roman"/>
                <w:b/>
                <w:bCs/>
                <w:kern w:val="24"/>
                <w:sz w:val="24"/>
                <w:szCs w:val="24"/>
                <w:lang w:eastAsia="en-GB"/>
              </w:rPr>
              <w:t>/</w:t>
            </w:r>
            <w:r>
              <w:rPr>
                <w:rFonts w:eastAsia="Calibri" w:cs="Times New Roman"/>
                <w:b/>
                <w:bCs/>
                <w:color w:val="000000"/>
                <w:kern w:val="24"/>
                <w:sz w:val="24"/>
                <w:szCs w:val="24"/>
                <w:lang w:eastAsia="en-GB"/>
              </w:rPr>
              <w:t>Repayment</w:t>
            </w:r>
          </w:p>
        </w:tc>
        <w:tc>
          <w:tcPr>
            <w:tcW w:w="635" w:type="pct"/>
            <w:tcBorders>
              <w:top w:val="nil"/>
              <w:left w:val="nil"/>
              <w:bottom w:val="nil"/>
              <w:right w:val="single" w:sz="8" w:space="0" w:color="000000"/>
            </w:tcBorders>
            <w:shd w:val="clear" w:color="auto" w:fill="auto"/>
            <w:tcMar>
              <w:top w:w="15" w:type="dxa"/>
              <w:left w:w="108" w:type="dxa"/>
              <w:bottom w:w="0" w:type="dxa"/>
              <w:right w:w="108" w:type="dxa"/>
            </w:tcMar>
            <w:vAlign w:val="center"/>
            <w:hideMark/>
          </w:tcPr>
          <w:p w:rsidR="00CA26A7" w:rsidRDefault="00CA26A7" w:rsidP="00CA26A7">
            <w:pPr>
              <w:spacing w:line="276" w:lineRule="auto"/>
              <w:jc w:val="center"/>
              <w:rPr>
                <w:rFonts w:cs="Arial"/>
                <w:sz w:val="24"/>
                <w:szCs w:val="24"/>
                <w:lang w:eastAsia="en-GB"/>
              </w:rPr>
            </w:pPr>
            <w:r>
              <w:rPr>
                <w:b/>
                <w:bCs/>
                <w:color w:val="FF0000"/>
                <w:sz w:val="24"/>
                <w:szCs w:val="24"/>
                <w:lang w:eastAsia="en-GB"/>
              </w:rPr>
              <w:t>(19.05)</w:t>
            </w:r>
          </w:p>
        </w:tc>
      </w:tr>
      <w:tr w:rsidR="00CA26A7" w:rsidRPr="00A01AB6" w:rsidTr="00CA26A7">
        <w:trPr>
          <w:trHeight w:val="394"/>
        </w:trPr>
        <w:tc>
          <w:tcPr>
            <w:tcW w:w="4365" w:type="pct"/>
            <w:tcBorders>
              <w:top w:val="nil"/>
              <w:left w:val="single" w:sz="8" w:space="0" w:color="000000"/>
              <w:bottom w:val="single" w:sz="8" w:space="0" w:color="000000"/>
              <w:right w:val="nil"/>
            </w:tcBorders>
            <w:shd w:val="clear" w:color="auto" w:fill="auto"/>
            <w:tcMar>
              <w:top w:w="15" w:type="dxa"/>
              <w:left w:w="108" w:type="dxa"/>
              <w:bottom w:w="0" w:type="dxa"/>
              <w:right w:w="108" w:type="dxa"/>
            </w:tcMar>
            <w:vAlign w:val="center"/>
            <w:hideMark/>
          </w:tcPr>
          <w:p w:rsidR="00CA26A7" w:rsidRPr="00A01AB6" w:rsidRDefault="00CA26A7" w:rsidP="00EE6756">
            <w:pPr>
              <w:spacing w:line="276" w:lineRule="auto"/>
              <w:rPr>
                <w:rFonts w:eastAsia="Times New Roman" w:cs="Arial"/>
                <w:sz w:val="24"/>
                <w:szCs w:val="24"/>
                <w:lang w:eastAsia="en-GB"/>
              </w:rPr>
            </w:pPr>
            <w:r w:rsidRPr="00A01AB6">
              <w:rPr>
                <w:rFonts w:eastAsia="Calibri" w:cs="Times New Roman"/>
                <w:b/>
                <w:bCs/>
                <w:color w:val="000000"/>
                <w:kern w:val="24"/>
                <w:sz w:val="24"/>
                <w:szCs w:val="24"/>
                <w:lang w:eastAsia="en-GB"/>
              </w:rPr>
              <w:t>Total Loans Balance</w:t>
            </w:r>
          </w:p>
        </w:tc>
        <w:tc>
          <w:tcPr>
            <w:tcW w:w="635" w:type="pct"/>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A26A7" w:rsidRDefault="00CA26A7" w:rsidP="00CA26A7">
            <w:pPr>
              <w:spacing w:line="276" w:lineRule="auto"/>
              <w:jc w:val="center"/>
              <w:rPr>
                <w:rFonts w:cs="Arial"/>
                <w:sz w:val="24"/>
                <w:szCs w:val="24"/>
                <w:lang w:eastAsia="en-GB"/>
              </w:rPr>
            </w:pPr>
            <w:r>
              <w:rPr>
                <w:b/>
                <w:bCs/>
                <w:color w:val="FF0000"/>
                <w:sz w:val="24"/>
                <w:szCs w:val="24"/>
                <w:lang w:eastAsia="en-GB"/>
              </w:rPr>
              <w:t>(136.43)</w:t>
            </w:r>
          </w:p>
        </w:tc>
      </w:tr>
    </w:tbl>
    <w:p w:rsidR="00031431" w:rsidRDefault="00031431" w:rsidP="00F06FDC">
      <w:pPr>
        <w:rPr>
          <w:b/>
          <w:sz w:val="24"/>
          <w:szCs w:val="24"/>
        </w:rPr>
      </w:pPr>
    </w:p>
    <w:p w:rsidR="008A67D1" w:rsidRPr="00E939CC" w:rsidRDefault="008A67D1" w:rsidP="00F06FDC">
      <w:pPr>
        <w:rPr>
          <w:sz w:val="24"/>
          <w:szCs w:val="24"/>
        </w:rPr>
      </w:pPr>
      <w:r w:rsidRPr="00E939CC">
        <w:rPr>
          <w:sz w:val="24"/>
          <w:szCs w:val="24"/>
        </w:rPr>
        <w:t xml:space="preserve">The </w:t>
      </w:r>
      <w:r w:rsidR="008A798B" w:rsidRPr="00E939CC">
        <w:rPr>
          <w:sz w:val="24"/>
          <w:szCs w:val="24"/>
        </w:rPr>
        <w:t xml:space="preserve">deficit for the </w:t>
      </w:r>
      <w:r w:rsidR="00E939CC" w:rsidRPr="00E939CC">
        <w:rPr>
          <w:sz w:val="24"/>
          <w:szCs w:val="24"/>
        </w:rPr>
        <w:t xml:space="preserve">first four months of the year is </w:t>
      </w:r>
      <w:r w:rsidR="00E939CC" w:rsidRPr="00E939CC">
        <w:rPr>
          <w:b/>
          <w:sz w:val="24"/>
          <w:szCs w:val="24"/>
        </w:rPr>
        <w:t>£19.18m</w:t>
      </w:r>
      <w:r w:rsidR="00E939CC" w:rsidRPr="00E939CC">
        <w:rPr>
          <w:sz w:val="24"/>
          <w:szCs w:val="24"/>
        </w:rPr>
        <w:t xml:space="preserve">. </w:t>
      </w:r>
      <w:r w:rsidR="007646AD" w:rsidRPr="00E939CC">
        <w:rPr>
          <w:sz w:val="24"/>
          <w:szCs w:val="24"/>
        </w:rPr>
        <w:t>Though the T</w:t>
      </w:r>
      <w:r w:rsidRPr="00E939CC">
        <w:rPr>
          <w:sz w:val="24"/>
          <w:szCs w:val="24"/>
        </w:rPr>
        <w:t>rust’s plan, revised for the 20</w:t>
      </w:r>
      <w:r w:rsidRPr="00E939CC">
        <w:rPr>
          <w:sz w:val="24"/>
          <w:szCs w:val="24"/>
          <w:vertAlign w:val="superscript"/>
        </w:rPr>
        <w:t>th</w:t>
      </w:r>
      <w:r w:rsidRPr="00E939CC">
        <w:rPr>
          <w:sz w:val="24"/>
          <w:szCs w:val="24"/>
        </w:rPr>
        <w:t xml:space="preserve"> June resubmission, anticipated an increased deficit in the first quarter, with activity and income planned to improve, and savings delivery </w:t>
      </w:r>
      <w:r w:rsidR="007646AD" w:rsidRPr="00E939CC">
        <w:rPr>
          <w:sz w:val="24"/>
          <w:szCs w:val="24"/>
        </w:rPr>
        <w:t>to increase later in the year, th</w:t>
      </w:r>
      <w:r w:rsidR="00E939CC" w:rsidRPr="00E939CC">
        <w:rPr>
          <w:sz w:val="24"/>
          <w:szCs w:val="24"/>
        </w:rPr>
        <w:t xml:space="preserve">e position is now </w:t>
      </w:r>
      <w:r w:rsidR="00E939CC" w:rsidRPr="00E939CC">
        <w:rPr>
          <w:b/>
          <w:sz w:val="24"/>
          <w:szCs w:val="24"/>
        </w:rPr>
        <w:t>£3.41</w:t>
      </w:r>
      <w:r w:rsidRPr="00E939CC">
        <w:rPr>
          <w:b/>
          <w:sz w:val="24"/>
          <w:szCs w:val="24"/>
        </w:rPr>
        <w:t>m</w:t>
      </w:r>
      <w:r w:rsidRPr="00E939CC">
        <w:rPr>
          <w:sz w:val="24"/>
          <w:szCs w:val="24"/>
        </w:rPr>
        <w:t xml:space="preserve"> adrift of plan.</w:t>
      </w:r>
    </w:p>
    <w:p w:rsidR="008A67D1" w:rsidRPr="00CA26A7" w:rsidRDefault="008A67D1" w:rsidP="00F06FDC">
      <w:pPr>
        <w:rPr>
          <w:color w:val="FF0000"/>
          <w:sz w:val="24"/>
          <w:szCs w:val="24"/>
        </w:rPr>
      </w:pPr>
    </w:p>
    <w:p w:rsidR="008A67D1" w:rsidRPr="0079297A" w:rsidRDefault="008A67D1" w:rsidP="00F06FDC">
      <w:pPr>
        <w:rPr>
          <w:sz w:val="24"/>
          <w:szCs w:val="24"/>
        </w:rPr>
      </w:pPr>
      <w:r w:rsidRPr="0079297A">
        <w:rPr>
          <w:sz w:val="24"/>
          <w:szCs w:val="24"/>
        </w:rPr>
        <w:t>There are three key factors:</w:t>
      </w:r>
    </w:p>
    <w:p w:rsidR="008A67D1" w:rsidRPr="0079297A" w:rsidRDefault="008A67D1" w:rsidP="00F06FDC">
      <w:pPr>
        <w:rPr>
          <w:sz w:val="24"/>
          <w:szCs w:val="24"/>
        </w:rPr>
      </w:pPr>
    </w:p>
    <w:p w:rsidR="008A67D1" w:rsidRPr="0079297A" w:rsidRDefault="008A67D1" w:rsidP="008A67D1">
      <w:pPr>
        <w:pStyle w:val="ListParagraph"/>
        <w:numPr>
          <w:ilvl w:val="0"/>
          <w:numId w:val="28"/>
        </w:numPr>
        <w:rPr>
          <w:sz w:val="24"/>
          <w:szCs w:val="24"/>
        </w:rPr>
      </w:pPr>
      <w:r w:rsidRPr="0079297A">
        <w:rPr>
          <w:sz w:val="24"/>
          <w:szCs w:val="24"/>
        </w:rPr>
        <w:t>Failure to earn Provider Sustainability Fund payments;</w:t>
      </w:r>
    </w:p>
    <w:p w:rsidR="008A67D1" w:rsidRPr="0079297A" w:rsidRDefault="008A67D1" w:rsidP="008A67D1">
      <w:pPr>
        <w:pStyle w:val="ListParagraph"/>
        <w:numPr>
          <w:ilvl w:val="0"/>
          <w:numId w:val="28"/>
        </w:numPr>
        <w:rPr>
          <w:sz w:val="24"/>
          <w:szCs w:val="24"/>
        </w:rPr>
      </w:pPr>
      <w:r w:rsidRPr="0079297A">
        <w:rPr>
          <w:sz w:val="24"/>
          <w:szCs w:val="24"/>
        </w:rPr>
        <w:t xml:space="preserve">Activity driven income </w:t>
      </w:r>
      <w:r w:rsidR="009D3090" w:rsidRPr="0079297A">
        <w:rPr>
          <w:sz w:val="24"/>
          <w:szCs w:val="24"/>
        </w:rPr>
        <w:t>shortfalls</w:t>
      </w:r>
      <w:r w:rsidRPr="0079297A">
        <w:rPr>
          <w:sz w:val="24"/>
          <w:szCs w:val="24"/>
        </w:rPr>
        <w:t xml:space="preserve">, </w:t>
      </w:r>
      <w:r w:rsidR="0079297A" w:rsidRPr="0079297A">
        <w:rPr>
          <w:sz w:val="24"/>
          <w:szCs w:val="24"/>
        </w:rPr>
        <w:t>although this has seen signs of recovery after a difficult start to the year in April</w:t>
      </w:r>
      <w:r w:rsidRPr="0079297A">
        <w:rPr>
          <w:sz w:val="24"/>
          <w:szCs w:val="24"/>
        </w:rPr>
        <w:t>;</w:t>
      </w:r>
    </w:p>
    <w:p w:rsidR="008A67D1" w:rsidRPr="0079297A" w:rsidRDefault="008A67D1" w:rsidP="008A67D1">
      <w:pPr>
        <w:pStyle w:val="ListParagraph"/>
        <w:numPr>
          <w:ilvl w:val="0"/>
          <w:numId w:val="28"/>
        </w:numPr>
        <w:rPr>
          <w:sz w:val="24"/>
          <w:szCs w:val="24"/>
        </w:rPr>
      </w:pPr>
      <w:r w:rsidRPr="0079297A">
        <w:rPr>
          <w:sz w:val="24"/>
          <w:szCs w:val="24"/>
        </w:rPr>
        <w:t xml:space="preserve">Pressures on non pay expenditure, linked to </w:t>
      </w:r>
      <w:r w:rsidR="0079297A" w:rsidRPr="0079297A">
        <w:rPr>
          <w:sz w:val="24"/>
          <w:szCs w:val="24"/>
        </w:rPr>
        <w:t xml:space="preserve">savings delivery in Orthopaedic </w:t>
      </w:r>
      <w:r w:rsidR="006613B7" w:rsidRPr="0079297A">
        <w:rPr>
          <w:sz w:val="24"/>
          <w:szCs w:val="24"/>
        </w:rPr>
        <w:t>prosthesis</w:t>
      </w:r>
      <w:r w:rsidR="0079297A" w:rsidRPr="0079297A">
        <w:rPr>
          <w:sz w:val="24"/>
          <w:szCs w:val="24"/>
        </w:rPr>
        <w:t xml:space="preserve">, increased Estates Maintenance costs </w:t>
      </w:r>
      <w:r w:rsidRPr="0079297A">
        <w:rPr>
          <w:sz w:val="24"/>
          <w:szCs w:val="24"/>
        </w:rPr>
        <w:t xml:space="preserve">and </w:t>
      </w:r>
      <w:r w:rsidR="0079297A" w:rsidRPr="0079297A">
        <w:rPr>
          <w:sz w:val="24"/>
          <w:szCs w:val="24"/>
        </w:rPr>
        <w:t xml:space="preserve">continued </w:t>
      </w:r>
      <w:r w:rsidRPr="0079297A">
        <w:rPr>
          <w:sz w:val="24"/>
          <w:szCs w:val="24"/>
        </w:rPr>
        <w:t>outsourced diagnostic capacity.</w:t>
      </w:r>
    </w:p>
    <w:p w:rsidR="008A67D1" w:rsidRPr="008655CA" w:rsidRDefault="008A67D1" w:rsidP="008A67D1">
      <w:pPr>
        <w:rPr>
          <w:sz w:val="24"/>
          <w:szCs w:val="24"/>
        </w:rPr>
      </w:pPr>
    </w:p>
    <w:p w:rsidR="008A67D1" w:rsidRPr="008655CA" w:rsidRDefault="008A67D1" w:rsidP="008A67D1">
      <w:pPr>
        <w:rPr>
          <w:sz w:val="24"/>
          <w:szCs w:val="24"/>
        </w:rPr>
      </w:pPr>
      <w:r w:rsidRPr="008655CA">
        <w:rPr>
          <w:sz w:val="24"/>
          <w:szCs w:val="24"/>
        </w:rPr>
        <w:t>Th</w:t>
      </w:r>
      <w:r w:rsidR="008655CA" w:rsidRPr="008655CA">
        <w:rPr>
          <w:sz w:val="24"/>
          <w:szCs w:val="24"/>
        </w:rPr>
        <w:t xml:space="preserve">e </w:t>
      </w:r>
      <w:r w:rsidR="0026185C" w:rsidRPr="008655CA">
        <w:rPr>
          <w:sz w:val="24"/>
          <w:szCs w:val="24"/>
        </w:rPr>
        <w:t>deficit</w:t>
      </w:r>
      <w:r w:rsidR="008655CA" w:rsidRPr="008655CA">
        <w:rPr>
          <w:sz w:val="24"/>
          <w:szCs w:val="24"/>
        </w:rPr>
        <w:t xml:space="preserve"> run rate has improved somewhat in month but is still falling behind plan. This is still recoverable at this</w:t>
      </w:r>
      <w:r w:rsidRPr="008655CA">
        <w:rPr>
          <w:sz w:val="24"/>
          <w:szCs w:val="24"/>
        </w:rPr>
        <w:t xml:space="preserve"> stage </w:t>
      </w:r>
      <w:r w:rsidR="008655CA" w:rsidRPr="008655CA">
        <w:rPr>
          <w:sz w:val="24"/>
          <w:szCs w:val="24"/>
        </w:rPr>
        <w:t>of the year</w:t>
      </w:r>
      <w:r w:rsidR="007646AD" w:rsidRPr="008655CA">
        <w:rPr>
          <w:sz w:val="24"/>
          <w:szCs w:val="24"/>
        </w:rPr>
        <w:t xml:space="preserve"> – with focus on the critical expenditure variables, and on increasing planned care productivity – a critical service and quality objective, as well as a key part of the financial delivery plan. There are signs of progress on both these fronts, but at this stage clearly significant risks remain.</w:t>
      </w:r>
    </w:p>
    <w:p w:rsidR="008A67D1" w:rsidRPr="00CA26A7" w:rsidRDefault="008A67D1" w:rsidP="008A67D1">
      <w:pPr>
        <w:rPr>
          <w:color w:val="FF0000"/>
          <w:sz w:val="24"/>
          <w:szCs w:val="24"/>
        </w:rPr>
      </w:pPr>
    </w:p>
    <w:p w:rsidR="008A67D1" w:rsidRPr="008655CA" w:rsidRDefault="008A67D1" w:rsidP="008A67D1">
      <w:pPr>
        <w:rPr>
          <w:sz w:val="24"/>
          <w:szCs w:val="24"/>
        </w:rPr>
      </w:pPr>
      <w:r w:rsidRPr="008655CA">
        <w:rPr>
          <w:sz w:val="24"/>
          <w:szCs w:val="24"/>
        </w:rPr>
        <w:t xml:space="preserve">Though cash balances are </w:t>
      </w:r>
      <w:r w:rsidR="008655CA" w:rsidRPr="008655CA">
        <w:rPr>
          <w:sz w:val="24"/>
          <w:szCs w:val="24"/>
        </w:rPr>
        <w:t xml:space="preserve">appear </w:t>
      </w:r>
      <w:r w:rsidRPr="008655CA">
        <w:rPr>
          <w:sz w:val="24"/>
          <w:szCs w:val="24"/>
        </w:rPr>
        <w:t>high</w:t>
      </w:r>
      <w:r w:rsidR="008655CA" w:rsidRPr="008655CA">
        <w:rPr>
          <w:sz w:val="24"/>
          <w:szCs w:val="24"/>
        </w:rPr>
        <w:t xml:space="preserve"> and above minimum cash balance requirements</w:t>
      </w:r>
      <w:r w:rsidRPr="008655CA">
        <w:rPr>
          <w:sz w:val="24"/>
          <w:szCs w:val="24"/>
        </w:rPr>
        <w:t xml:space="preserve">, this reflects the </w:t>
      </w:r>
      <w:r w:rsidR="00055998" w:rsidRPr="008655CA">
        <w:rPr>
          <w:sz w:val="24"/>
          <w:szCs w:val="24"/>
        </w:rPr>
        <w:t>slight delays in payment</w:t>
      </w:r>
      <w:r w:rsidR="008655CA" w:rsidRPr="008655CA">
        <w:rPr>
          <w:sz w:val="24"/>
          <w:szCs w:val="24"/>
        </w:rPr>
        <w:t xml:space="preserve">s for major capital expenditure and the </w:t>
      </w:r>
      <w:r w:rsidR="00055998" w:rsidRPr="008655CA">
        <w:rPr>
          <w:sz w:val="24"/>
          <w:szCs w:val="24"/>
        </w:rPr>
        <w:t>significantly in</w:t>
      </w:r>
      <w:r w:rsidR="007646AD" w:rsidRPr="008655CA">
        <w:rPr>
          <w:sz w:val="24"/>
          <w:szCs w:val="24"/>
        </w:rPr>
        <w:t>creased creditor payment times</w:t>
      </w:r>
      <w:r w:rsidR="008655CA" w:rsidRPr="008655CA">
        <w:rPr>
          <w:sz w:val="24"/>
          <w:szCs w:val="24"/>
        </w:rPr>
        <w:t xml:space="preserve"> and balances</w:t>
      </w:r>
      <w:r w:rsidR="007646AD" w:rsidRPr="008655CA">
        <w:rPr>
          <w:sz w:val="24"/>
          <w:szCs w:val="24"/>
        </w:rPr>
        <w:t>.</w:t>
      </w:r>
    </w:p>
    <w:p w:rsidR="007646AD" w:rsidRPr="00CA26A7" w:rsidRDefault="007646AD" w:rsidP="008A67D1">
      <w:pPr>
        <w:rPr>
          <w:color w:val="FF0000"/>
          <w:sz w:val="24"/>
          <w:szCs w:val="24"/>
        </w:rPr>
      </w:pPr>
    </w:p>
    <w:p w:rsidR="007646AD" w:rsidRPr="00CA26A7" w:rsidRDefault="007646AD" w:rsidP="008A67D1">
      <w:pPr>
        <w:rPr>
          <w:color w:val="FF0000"/>
          <w:sz w:val="24"/>
          <w:szCs w:val="24"/>
        </w:rPr>
      </w:pPr>
      <w:r w:rsidRPr="00CA26A7">
        <w:rPr>
          <w:color w:val="FF0000"/>
          <w:sz w:val="24"/>
          <w:szCs w:val="24"/>
        </w:rPr>
        <w:t>.</w:t>
      </w:r>
    </w:p>
    <w:p w:rsidR="008A67D1" w:rsidRPr="00317FD6" w:rsidRDefault="008A67D1" w:rsidP="00F06FDC">
      <w:pPr>
        <w:rPr>
          <w:b/>
          <w:sz w:val="24"/>
          <w:szCs w:val="24"/>
        </w:rPr>
      </w:pPr>
    </w:p>
    <w:p w:rsidR="00186128" w:rsidRPr="00BE13D5" w:rsidRDefault="00186128" w:rsidP="00BE13D5">
      <w:pPr>
        <w:rPr>
          <w:color w:val="FF0000"/>
        </w:rPr>
      </w:pPr>
    </w:p>
    <w:p w:rsidR="008655CA" w:rsidRDefault="008655CA" w:rsidP="00F06FDC">
      <w:pPr>
        <w:rPr>
          <w:b/>
          <w:sz w:val="24"/>
          <w:szCs w:val="24"/>
        </w:rPr>
      </w:pPr>
      <w:r>
        <w:rPr>
          <w:b/>
          <w:sz w:val="24"/>
          <w:szCs w:val="24"/>
        </w:rPr>
        <w:br w:type="page"/>
      </w:r>
    </w:p>
    <w:p w:rsidR="00F06FDC" w:rsidRPr="008D7357" w:rsidRDefault="00F06FDC" w:rsidP="00F06FDC">
      <w:pPr>
        <w:rPr>
          <w:b/>
          <w:sz w:val="24"/>
          <w:szCs w:val="24"/>
        </w:rPr>
      </w:pPr>
      <w:r>
        <w:rPr>
          <w:b/>
          <w:sz w:val="24"/>
          <w:szCs w:val="24"/>
        </w:rPr>
        <w:lastRenderedPageBreak/>
        <w:t>2</w:t>
      </w:r>
      <w:r w:rsidRPr="008D7357">
        <w:rPr>
          <w:b/>
          <w:sz w:val="24"/>
          <w:szCs w:val="24"/>
        </w:rPr>
        <w:t>.</w:t>
      </w:r>
      <w:r w:rsidRPr="008D7357">
        <w:rPr>
          <w:b/>
          <w:sz w:val="24"/>
          <w:szCs w:val="24"/>
        </w:rPr>
        <w:tab/>
        <w:t>I&amp;E Position</w:t>
      </w:r>
      <w:r w:rsidR="005C3D7F">
        <w:rPr>
          <w:b/>
          <w:sz w:val="24"/>
          <w:szCs w:val="24"/>
        </w:rPr>
        <w:t xml:space="preserve"> Month </w:t>
      </w:r>
      <w:r w:rsidR="00CA26A7">
        <w:rPr>
          <w:b/>
          <w:sz w:val="24"/>
          <w:szCs w:val="24"/>
        </w:rPr>
        <w:t>04</w:t>
      </w:r>
      <w:r w:rsidRPr="008D7357">
        <w:rPr>
          <w:b/>
          <w:sz w:val="24"/>
          <w:szCs w:val="24"/>
        </w:rPr>
        <w:t>:</w:t>
      </w:r>
    </w:p>
    <w:p w:rsidR="00F06FDC" w:rsidRPr="008D7357" w:rsidRDefault="00F06FDC" w:rsidP="00F06FDC">
      <w:pPr>
        <w:rPr>
          <w:b/>
        </w:rPr>
      </w:pPr>
    </w:p>
    <w:p w:rsidR="00F06FDC" w:rsidRPr="008D7357" w:rsidRDefault="007646AD" w:rsidP="00F06FDC">
      <w:pPr>
        <w:rPr>
          <w:b/>
        </w:rPr>
      </w:pPr>
      <w:r>
        <w:rPr>
          <w:b/>
        </w:rPr>
        <w:t>Outline I&amp;E</w:t>
      </w:r>
      <w:r w:rsidR="00F06FDC" w:rsidRPr="008D7357">
        <w:rPr>
          <w:b/>
        </w:rPr>
        <w:t xml:space="preserve"> Position:</w:t>
      </w:r>
    </w:p>
    <w:p w:rsidR="00082661" w:rsidRPr="003251DC" w:rsidRDefault="00082661" w:rsidP="00082661">
      <w:pPr>
        <w:rPr>
          <w:color w:val="FF0000"/>
          <w:sz w:val="20"/>
        </w:rPr>
      </w:pPr>
    </w:p>
    <w:tbl>
      <w:tblPr>
        <w:tblW w:w="9260" w:type="dxa"/>
        <w:jc w:val="center"/>
        <w:tblInd w:w="-669" w:type="dxa"/>
        <w:tblLook w:val="04A0" w:firstRow="1" w:lastRow="0" w:firstColumn="1" w:lastColumn="0" w:noHBand="0" w:noVBand="1"/>
      </w:tblPr>
      <w:tblGrid>
        <w:gridCol w:w="4782"/>
        <w:gridCol w:w="2270"/>
        <w:gridCol w:w="2208"/>
      </w:tblGrid>
      <w:tr w:rsidR="007646AD" w:rsidRPr="006E3042" w:rsidTr="00EE6756">
        <w:trPr>
          <w:trHeight w:val="449"/>
          <w:jc w:val="center"/>
        </w:trPr>
        <w:tc>
          <w:tcPr>
            <w:tcW w:w="4782" w:type="dxa"/>
            <w:tcBorders>
              <w:top w:val="single" w:sz="12" w:space="0" w:color="auto"/>
              <w:left w:val="single" w:sz="12" w:space="0" w:color="auto"/>
              <w:bottom w:val="nil"/>
              <w:right w:val="single" w:sz="8" w:space="0" w:color="auto"/>
            </w:tcBorders>
            <w:shd w:val="clear" w:color="auto" w:fill="auto"/>
            <w:noWrap/>
            <w:hideMark/>
          </w:tcPr>
          <w:p w:rsidR="007646AD" w:rsidRPr="006E3042" w:rsidRDefault="007646AD" w:rsidP="00EE6756">
            <w:pPr>
              <w:rPr>
                <w:rFonts w:eastAsia="Times New Roman" w:cs="Arial"/>
                <w:sz w:val="24"/>
                <w:szCs w:val="24"/>
                <w:lang w:eastAsia="en-GB"/>
              </w:rPr>
            </w:pPr>
            <w:r w:rsidRPr="006E3042">
              <w:rPr>
                <w:rFonts w:eastAsia="Times New Roman" w:cs="Arial"/>
                <w:sz w:val="24"/>
                <w:szCs w:val="24"/>
                <w:lang w:eastAsia="en-GB"/>
              </w:rPr>
              <w:t> </w:t>
            </w:r>
          </w:p>
        </w:tc>
        <w:tc>
          <w:tcPr>
            <w:tcW w:w="2270" w:type="dxa"/>
            <w:tcBorders>
              <w:top w:val="single" w:sz="12" w:space="0" w:color="auto"/>
              <w:left w:val="nil"/>
              <w:bottom w:val="nil"/>
              <w:right w:val="single" w:sz="8" w:space="0" w:color="auto"/>
            </w:tcBorders>
            <w:shd w:val="clear" w:color="auto" w:fill="auto"/>
            <w:hideMark/>
          </w:tcPr>
          <w:p w:rsidR="007646AD" w:rsidRPr="006E3042" w:rsidRDefault="007646AD" w:rsidP="00EE6756">
            <w:pPr>
              <w:jc w:val="center"/>
              <w:rPr>
                <w:rFonts w:eastAsia="Times New Roman" w:cs="Arial"/>
                <w:b/>
                <w:bCs/>
                <w:sz w:val="24"/>
                <w:szCs w:val="24"/>
                <w:lang w:eastAsia="en-GB"/>
              </w:rPr>
            </w:pPr>
            <w:r w:rsidRPr="006E3042">
              <w:rPr>
                <w:rFonts w:eastAsia="Times New Roman" w:cs="Arial"/>
                <w:b/>
                <w:bCs/>
                <w:sz w:val="24"/>
                <w:szCs w:val="24"/>
                <w:lang w:eastAsia="en-GB"/>
              </w:rPr>
              <w:t>YTD Actual</w:t>
            </w:r>
          </w:p>
        </w:tc>
        <w:tc>
          <w:tcPr>
            <w:tcW w:w="2208" w:type="dxa"/>
            <w:tcBorders>
              <w:top w:val="single" w:sz="12" w:space="0" w:color="auto"/>
              <w:left w:val="nil"/>
              <w:bottom w:val="nil"/>
              <w:right w:val="single" w:sz="12" w:space="0" w:color="auto"/>
            </w:tcBorders>
            <w:shd w:val="clear" w:color="auto" w:fill="auto"/>
            <w:hideMark/>
          </w:tcPr>
          <w:p w:rsidR="007646AD" w:rsidRPr="006E3042" w:rsidRDefault="007646AD" w:rsidP="00EE6756">
            <w:pPr>
              <w:jc w:val="center"/>
              <w:rPr>
                <w:rFonts w:eastAsia="Times New Roman" w:cs="Arial"/>
                <w:b/>
                <w:bCs/>
                <w:sz w:val="24"/>
                <w:szCs w:val="24"/>
                <w:lang w:eastAsia="en-GB"/>
              </w:rPr>
            </w:pPr>
            <w:r w:rsidRPr="006E3042">
              <w:rPr>
                <w:rFonts w:eastAsia="Times New Roman" w:cs="Arial"/>
                <w:b/>
                <w:bCs/>
                <w:sz w:val="24"/>
                <w:szCs w:val="24"/>
                <w:lang w:eastAsia="en-GB"/>
              </w:rPr>
              <w:t>Variance from Plan</w:t>
            </w:r>
          </w:p>
        </w:tc>
      </w:tr>
      <w:tr w:rsidR="007646AD" w:rsidRPr="006E3042" w:rsidTr="00EE6756">
        <w:trPr>
          <w:trHeight w:val="390"/>
          <w:jc w:val="center"/>
        </w:trPr>
        <w:tc>
          <w:tcPr>
            <w:tcW w:w="4782" w:type="dxa"/>
            <w:tcBorders>
              <w:top w:val="nil"/>
              <w:left w:val="single" w:sz="12" w:space="0" w:color="auto"/>
              <w:bottom w:val="single" w:sz="8" w:space="0" w:color="auto"/>
              <w:right w:val="single" w:sz="8" w:space="0" w:color="auto"/>
            </w:tcBorders>
            <w:shd w:val="clear" w:color="auto" w:fill="auto"/>
            <w:noWrap/>
            <w:hideMark/>
          </w:tcPr>
          <w:p w:rsidR="007646AD" w:rsidRPr="006E3042" w:rsidRDefault="007646AD" w:rsidP="00EE6756">
            <w:pPr>
              <w:rPr>
                <w:rFonts w:eastAsia="Times New Roman" w:cs="Arial"/>
                <w:sz w:val="24"/>
                <w:szCs w:val="24"/>
                <w:lang w:eastAsia="en-GB"/>
              </w:rPr>
            </w:pPr>
            <w:r w:rsidRPr="006E3042">
              <w:rPr>
                <w:rFonts w:eastAsia="Times New Roman" w:cs="Arial"/>
                <w:sz w:val="24"/>
                <w:szCs w:val="24"/>
                <w:lang w:eastAsia="en-GB"/>
              </w:rPr>
              <w:t> </w:t>
            </w:r>
          </w:p>
        </w:tc>
        <w:tc>
          <w:tcPr>
            <w:tcW w:w="2270" w:type="dxa"/>
            <w:tcBorders>
              <w:top w:val="nil"/>
              <w:left w:val="nil"/>
              <w:bottom w:val="single" w:sz="8" w:space="0" w:color="auto"/>
              <w:right w:val="single" w:sz="8" w:space="0" w:color="auto"/>
            </w:tcBorders>
            <w:shd w:val="clear" w:color="auto" w:fill="auto"/>
            <w:hideMark/>
          </w:tcPr>
          <w:p w:rsidR="007646AD" w:rsidRPr="006E3042" w:rsidRDefault="007646AD" w:rsidP="00EE6756">
            <w:pPr>
              <w:jc w:val="center"/>
              <w:rPr>
                <w:rFonts w:eastAsia="Times New Roman" w:cs="Arial"/>
                <w:b/>
                <w:bCs/>
                <w:sz w:val="24"/>
                <w:szCs w:val="24"/>
                <w:lang w:eastAsia="en-GB"/>
              </w:rPr>
            </w:pPr>
            <w:r w:rsidRPr="006E3042">
              <w:rPr>
                <w:rFonts w:eastAsia="Times New Roman" w:cs="Arial"/>
                <w:b/>
                <w:bCs/>
                <w:sz w:val="24"/>
                <w:szCs w:val="24"/>
                <w:lang w:eastAsia="en-GB"/>
              </w:rPr>
              <w:t>£mil</w:t>
            </w:r>
          </w:p>
        </w:tc>
        <w:tc>
          <w:tcPr>
            <w:tcW w:w="2208" w:type="dxa"/>
            <w:tcBorders>
              <w:top w:val="nil"/>
              <w:left w:val="nil"/>
              <w:bottom w:val="single" w:sz="8" w:space="0" w:color="auto"/>
              <w:right w:val="single" w:sz="12" w:space="0" w:color="auto"/>
            </w:tcBorders>
            <w:shd w:val="clear" w:color="auto" w:fill="auto"/>
            <w:hideMark/>
          </w:tcPr>
          <w:p w:rsidR="007646AD" w:rsidRPr="006E3042" w:rsidRDefault="007646AD" w:rsidP="00EE6756">
            <w:pPr>
              <w:jc w:val="center"/>
              <w:rPr>
                <w:rFonts w:eastAsia="Times New Roman" w:cs="Arial"/>
                <w:b/>
                <w:bCs/>
                <w:sz w:val="24"/>
                <w:szCs w:val="24"/>
                <w:lang w:eastAsia="en-GB"/>
              </w:rPr>
            </w:pPr>
            <w:r w:rsidRPr="006E3042">
              <w:rPr>
                <w:rFonts w:eastAsia="Times New Roman" w:cs="Arial"/>
                <w:b/>
                <w:bCs/>
                <w:sz w:val="24"/>
                <w:szCs w:val="24"/>
                <w:lang w:eastAsia="en-GB"/>
              </w:rPr>
              <w:t xml:space="preserve"> £mil</w:t>
            </w:r>
          </w:p>
        </w:tc>
      </w:tr>
      <w:tr w:rsidR="00CA26A7" w:rsidRPr="006E3042" w:rsidTr="00CA26A7">
        <w:trPr>
          <w:trHeight w:val="390"/>
          <w:jc w:val="center"/>
        </w:trPr>
        <w:tc>
          <w:tcPr>
            <w:tcW w:w="4782" w:type="dxa"/>
            <w:tcBorders>
              <w:top w:val="nil"/>
              <w:left w:val="single" w:sz="12" w:space="0" w:color="auto"/>
              <w:bottom w:val="nil"/>
              <w:right w:val="single" w:sz="8" w:space="0" w:color="auto"/>
            </w:tcBorders>
            <w:shd w:val="clear" w:color="auto" w:fill="auto"/>
            <w:noWrap/>
            <w:hideMark/>
          </w:tcPr>
          <w:p w:rsidR="00CA26A7" w:rsidRPr="006E3042" w:rsidRDefault="00CA26A7" w:rsidP="00EE6756">
            <w:pPr>
              <w:rPr>
                <w:rFonts w:eastAsia="Times New Roman" w:cs="Arial"/>
                <w:sz w:val="24"/>
                <w:szCs w:val="24"/>
                <w:lang w:eastAsia="en-GB"/>
              </w:rPr>
            </w:pPr>
            <w:r w:rsidRPr="006E3042">
              <w:rPr>
                <w:rFonts w:eastAsia="Times New Roman" w:cs="Arial"/>
                <w:sz w:val="24"/>
                <w:szCs w:val="24"/>
                <w:lang w:eastAsia="en-GB"/>
              </w:rPr>
              <w:t xml:space="preserve">Income (excluding </w:t>
            </w:r>
            <w:r>
              <w:rPr>
                <w:rFonts w:eastAsia="Times New Roman" w:cs="Arial"/>
                <w:sz w:val="24"/>
                <w:szCs w:val="24"/>
                <w:lang w:eastAsia="en-GB"/>
              </w:rPr>
              <w:t>PSF</w:t>
            </w:r>
            <w:r w:rsidRPr="006E3042">
              <w:rPr>
                <w:rFonts w:eastAsia="Times New Roman" w:cs="Arial"/>
                <w:sz w:val="24"/>
                <w:szCs w:val="24"/>
                <w:lang w:eastAsia="en-GB"/>
              </w:rPr>
              <w:t>)</w:t>
            </w:r>
          </w:p>
        </w:tc>
        <w:tc>
          <w:tcPr>
            <w:tcW w:w="2270" w:type="dxa"/>
            <w:tcBorders>
              <w:top w:val="nil"/>
              <w:left w:val="nil"/>
              <w:bottom w:val="nil"/>
              <w:right w:val="single" w:sz="8" w:space="0" w:color="auto"/>
            </w:tcBorders>
            <w:shd w:val="clear" w:color="auto" w:fill="auto"/>
            <w:vAlign w:val="center"/>
            <w:hideMark/>
          </w:tcPr>
          <w:p w:rsidR="00CA26A7" w:rsidRPr="002F3EEA" w:rsidRDefault="00CA26A7" w:rsidP="00CA26A7">
            <w:pPr>
              <w:jc w:val="center"/>
              <w:rPr>
                <w:sz w:val="24"/>
              </w:rPr>
            </w:pPr>
            <w:r w:rsidRPr="002F3EEA">
              <w:rPr>
                <w:sz w:val="24"/>
              </w:rPr>
              <w:t>115.08</w:t>
            </w:r>
          </w:p>
        </w:tc>
        <w:tc>
          <w:tcPr>
            <w:tcW w:w="2208" w:type="dxa"/>
            <w:tcBorders>
              <w:top w:val="nil"/>
              <w:left w:val="nil"/>
              <w:bottom w:val="nil"/>
              <w:right w:val="single" w:sz="12" w:space="0" w:color="auto"/>
            </w:tcBorders>
            <w:shd w:val="clear" w:color="auto" w:fill="auto"/>
            <w:vAlign w:val="center"/>
            <w:hideMark/>
          </w:tcPr>
          <w:p w:rsidR="00CA26A7" w:rsidRPr="002F3EEA" w:rsidRDefault="00CA26A7" w:rsidP="00CA26A7">
            <w:pPr>
              <w:jc w:val="center"/>
              <w:rPr>
                <w:color w:val="FF0000"/>
                <w:sz w:val="24"/>
              </w:rPr>
            </w:pPr>
            <w:r w:rsidRPr="002F3EEA">
              <w:rPr>
                <w:color w:val="FF0000"/>
                <w:sz w:val="24"/>
              </w:rPr>
              <w:t>(1.08)</w:t>
            </w:r>
          </w:p>
        </w:tc>
      </w:tr>
      <w:tr w:rsidR="00CA26A7" w:rsidRPr="006E3042" w:rsidTr="00CA26A7">
        <w:trPr>
          <w:trHeight w:val="390"/>
          <w:jc w:val="center"/>
        </w:trPr>
        <w:tc>
          <w:tcPr>
            <w:tcW w:w="4782" w:type="dxa"/>
            <w:tcBorders>
              <w:top w:val="nil"/>
              <w:left w:val="single" w:sz="12" w:space="0" w:color="auto"/>
              <w:bottom w:val="nil"/>
              <w:right w:val="single" w:sz="8" w:space="0" w:color="auto"/>
            </w:tcBorders>
            <w:shd w:val="clear" w:color="auto" w:fill="auto"/>
            <w:noWrap/>
            <w:hideMark/>
          </w:tcPr>
          <w:p w:rsidR="00CA26A7" w:rsidRPr="006E3042" w:rsidRDefault="00CA26A7" w:rsidP="00EE6756">
            <w:pPr>
              <w:rPr>
                <w:rFonts w:eastAsia="Times New Roman" w:cs="Arial"/>
                <w:sz w:val="24"/>
                <w:szCs w:val="24"/>
                <w:lang w:eastAsia="en-GB"/>
              </w:rPr>
            </w:pPr>
            <w:r>
              <w:rPr>
                <w:rFonts w:eastAsia="Times New Roman" w:cs="Arial"/>
                <w:sz w:val="24"/>
                <w:szCs w:val="24"/>
                <w:lang w:eastAsia="en-GB"/>
              </w:rPr>
              <w:t>PSF</w:t>
            </w:r>
          </w:p>
        </w:tc>
        <w:tc>
          <w:tcPr>
            <w:tcW w:w="2270" w:type="dxa"/>
            <w:tcBorders>
              <w:top w:val="nil"/>
              <w:left w:val="nil"/>
              <w:bottom w:val="nil"/>
              <w:right w:val="single" w:sz="8" w:space="0" w:color="auto"/>
            </w:tcBorders>
            <w:shd w:val="clear" w:color="auto" w:fill="auto"/>
            <w:vAlign w:val="center"/>
            <w:hideMark/>
          </w:tcPr>
          <w:p w:rsidR="00CA26A7" w:rsidRPr="002F3EEA" w:rsidRDefault="00CA26A7" w:rsidP="00CA26A7">
            <w:pPr>
              <w:jc w:val="center"/>
              <w:rPr>
                <w:sz w:val="24"/>
              </w:rPr>
            </w:pPr>
            <w:r w:rsidRPr="002F3EEA">
              <w:rPr>
                <w:sz w:val="24"/>
              </w:rPr>
              <w:t>0.00</w:t>
            </w:r>
          </w:p>
        </w:tc>
        <w:tc>
          <w:tcPr>
            <w:tcW w:w="2208" w:type="dxa"/>
            <w:tcBorders>
              <w:top w:val="nil"/>
              <w:left w:val="nil"/>
              <w:bottom w:val="nil"/>
              <w:right w:val="single" w:sz="12" w:space="0" w:color="auto"/>
            </w:tcBorders>
            <w:shd w:val="clear" w:color="auto" w:fill="auto"/>
            <w:vAlign w:val="center"/>
            <w:hideMark/>
          </w:tcPr>
          <w:p w:rsidR="00CA26A7" w:rsidRPr="002F3EEA" w:rsidRDefault="00CA26A7" w:rsidP="00CA26A7">
            <w:pPr>
              <w:jc w:val="center"/>
              <w:rPr>
                <w:color w:val="FF0000"/>
                <w:sz w:val="24"/>
              </w:rPr>
            </w:pPr>
            <w:r w:rsidRPr="002F3EEA">
              <w:rPr>
                <w:color w:val="FF0000"/>
                <w:sz w:val="24"/>
              </w:rPr>
              <w:t>(1.56)</w:t>
            </w:r>
          </w:p>
        </w:tc>
      </w:tr>
      <w:tr w:rsidR="00CA26A7" w:rsidRPr="006E3042" w:rsidTr="00CA26A7">
        <w:trPr>
          <w:trHeight w:val="390"/>
          <w:jc w:val="center"/>
        </w:trPr>
        <w:tc>
          <w:tcPr>
            <w:tcW w:w="4782" w:type="dxa"/>
            <w:tcBorders>
              <w:top w:val="nil"/>
              <w:left w:val="single" w:sz="12" w:space="0" w:color="auto"/>
              <w:right w:val="single" w:sz="8" w:space="0" w:color="auto"/>
            </w:tcBorders>
            <w:shd w:val="clear" w:color="auto" w:fill="auto"/>
            <w:noWrap/>
            <w:hideMark/>
          </w:tcPr>
          <w:p w:rsidR="00CA26A7" w:rsidRPr="00350074" w:rsidRDefault="00CA26A7" w:rsidP="00EE6756">
            <w:pPr>
              <w:rPr>
                <w:rFonts w:eastAsia="Times New Roman" w:cs="Arial"/>
                <w:color w:val="FF0000"/>
                <w:sz w:val="24"/>
                <w:szCs w:val="24"/>
                <w:lang w:eastAsia="en-GB"/>
              </w:rPr>
            </w:pPr>
            <w:r w:rsidRPr="002238BF">
              <w:rPr>
                <w:rFonts w:eastAsia="Times New Roman" w:cs="Arial"/>
                <w:sz w:val="24"/>
                <w:szCs w:val="24"/>
                <w:lang w:eastAsia="en-GB"/>
              </w:rPr>
              <w:t>Expenditure – Pay, Clinical</w:t>
            </w:r>
          </w:p>
        </w:tc>
        <w:tc>
          <w:tcPr>
            <w:tcW w:w="2270" w:type="dxa"/>
            <w:tcBorders>
              <w:top w:val="nil"/>
              <w:left w:val="nil"/>
              <w:right w:val="single" w:sz="8" w:space="0" w:color="auto"/>
            </w:tcBorders>
            <w:shd w:val="clear" w:color="auto" w:fill="auto"/>
            <w:vAlign w:val="center"/>
            <w:hideMark/>
          </w:tcPr>
          <w:p w:rsidR="00CA26A7" w:rsidRPr="002F3EEA" w:rsidRDefault="00CA26A7" w:rsidP="00CA26A7">
            <w:pPr>
              <w:jc w:val="center"/>
              <w:rPr>
                <w:color w:val="FF0000"/>
                <w:sz w:val="24"/>
              </w:rPr>
            </w:pPr>
            <w:r w:rsidRPr="002F3EEA">
              <w:rPr>
                <w:color w:val="FF0000"/>
                <w:sz w:val="24"/>
              </w:rPr>
              <w:t>(69.89)</w:t>
            </w:r>
          </w:p>
        </w:tc>
        <w:tc>
          <w:tcPr>
            <w:tcW w:w="2208" w:type="dxa"/>
            <w:tcBorders>
              <w:top w:val="nil"/>
              <w:left w:val="nil"/>
              <w:right w:val="single" w:sz="12" w:space="0" w:color="auto"/>
            </w:tcBorders>
            <w:shd w:val="clear" w:color="auto" w:fill="auto"/>
            <w:vAlign w:val="center"/>
            <w:hideMark/>
          </w:tcPr>
          <w:p w:rsidR="00CA26A7" w:rsidRPr="002F3EEA" w:rsidRDefault="00CA26A7" w:rsidP="00CA26A7">
            <w:pPr>
              <w:jc w:val="center"/>
              <w:rPr>
                <w:sz w:val="24"/>
              </w:rPr>
            </w:pPr>
            <w:r w:rsidRPr="002F3EEA">
              <w:rPr>
                <w:sz w:val="24"/>
              </w:rPr>
              <w:t>0.21</w:t>
            </w:r>
          </w:p>
        </w:tc>
      </w:tr>
      <w:tr w:rsidR="00CA26A7" w:rsidRPr="006E3042" w:rsidTr="00CA26A7">
        <w:trPr>
          <w:trHeight w:val="390"/>
          <w:jc w:val="center"/>
        </w:trPr>
        <w:tc>
          <w:tcPr>
            <w:tcW w:w="4782" w:type="dxa"/>
            <w:tcBorders>
              <w:top w:val="nil"/>
              <w:left w:val="single" w:sz="12" w:space="0" w:color="auto"/>
              <w:right w:val="single" w:sz="8" w:space="0" w:color="auto"/>
            </w:tcBorders>
            <w:shd w:val="clear" w:color="auto" w:fill="auto"/>
            <w:noWrap/>
          </w:tcPr>
          <w:p w:rsidR="00CA26A7" w:rsidRPr="00350074" w:rsidRDefault="00CA26A7" w:rsidP="00EE6756">
            <w:pPr>
              <w:rPr>
                <w:rFonts w:eastAsia="Times New Roman" w:cs="Arial"/>
                <w:color w:val="FF0000"/>
                <w:sz w:val="24"/>
                <w:szCs w:val="24"/>
                <w:lang w:eastAsia="en-GB"/>
              </w:rPr>
            </w:pPr>
            <w:r w:rsidRPr="002238BF">
              <w:rPr>
                <w:rFonts w:eastAsia="Times New Roman" w:cs="Arial"/>
                <w:sz w:val="24"/>
                <w:szCs w:val="24"/>
                <w:lang w:eastAsia="en-GB"/>
              </w:rPr>
              <w:t>Expenditure – Pay, Other</w:t>
            </w:r>
          </w:p>
        </w:tc>
        <w:tc>
          <w:tcPr>
            <w:tcW w:w="2270" w:type="dxa"/>
            <w:tcBorders>
              <w:top w:val="nil"/>
              <w:left w:val="nil"/>
              <w:right w:val="single" w:sz="8" w:space="0" w:color="auto"/>
            </w:tcBorders>
            <w:shd w:val="clear" w:color="auto" w:fill="auto"/>
            <w:vAlign w:val="center"/>
          </w:tcPr>
          <w:p w:rsidR="00CA26A7" w:rsidRPr="002F3EEA" w:rsidRDefault="00CA26A7" w:rsidP="00CA26A7">
            <w:pPr>
              <w:jc w:val="center"/>
              <w:rPr>
                <w:color w:val="FF0000"/>
                <w:sz w:val="24"/>
              </w:rPr>
            </w:pPr>
            <w:r w:rsidRPr="002F3EEA">
              <w:rPr>
                <w:color w:val="FF0000"/>
                <w:sz w:val="24"/>
              </w:rPr>
              <w:t>(18.13)</w:t>
            </w:r>
          </w:p>
        </w:tc>
        <w:tc>
          <w:tcPr>
            <w:tcW w:w="2208" w:type="dxa"/>
            <w:tcBorders>
              <w:top w:val="nil"/>
              <w:left w:val="nil"/>
              <w:right w:val="single" w:sz="12" w:space="0" w:color="auto"/>
            </w:tcBorders>
            <w:shd w:val="clear" w:color="auto" w:fill="auto"/>
            <w:vAlign w:val="center"/>
          </w:tcPr>
          <w:p w:rsidR="00CA26A7" w:rsidRPr="002F3EEA" w:rsidRDefault="00CA26A7" w:rsidP="00CA26A7">
            <w:pPr>
              <w:jc w:val="center"/>
              <w:rPr>
                <w:color w:val="FF0000"/>
                <w:sz w:val="24"/>
              </w:rPr>
            </w:pPr>
            <w:r w:rsidRPr="002F3EEA">
              <w:rPr>
                <w:color w:val="FF0000"/>
                <w:sz w:val="24"/>
              </w:rPr>
              <w:t>(0.26)</w:t>
            </w:r>
          </w:p>
        </w:tc>
      </w:tr>
      <w:tr w:rsidR="00CA26A7" w:rsidRPr="006E3042" w:rsidTr="00CA26A7">
        <w:trPr>
          <w:trHeight w:val="390"/>
          <w:jc w:val="center"/>
        </w:trPr>
        <w:tc>
          <w:tcPr>
            <w:tcW w:w="4782" w:type="dxa"/>
            <w:tcBorders>
              <w:top w:val="nil"/>
              <w:left w:val="single" w:sz="12" w:space="0" w:color="auto"/>
              <w:right w:val="single" w:sz="8" w:space="0" w:color="auto"/>
            </w:tcBorders>
            <w:shd w:val="clear" w:color="auto" w:fill="auto"/>
            <w:noWrap/>
          </w:tcPr>
          <w:p w:rsidR="00CA26A7" w:rsidRPr="00350074" w:rsidRDefault="00CA26A7" w:rsidP="00EE6756">
            <w:pPr>
              <w:rPr>
                <w:rFonts w:eastAsia="Times New Roman" w:cs="Arial"/>
                <w:color w:val="FF0000"/>
                <w:sz w:val="24"/>
                <w:szCs w:val="24"/>
                <w:lang w:eastAsia="en-GB"/>
              </w:rPr>
            </w:pPr>
            <w:r w:rsidRPr="002238BF">
              <w:rPr>
                <w:rFonts w:eastAsia="Times New Roman" w:cs="Arial"/>
                <w:sz w:val="24"/>
                <w:szCs w:val="24"/>
                <w:lang w:eastAsia="en-GB"/>
              </w:rPr>
              <w:t>Expenditure – Non Pay, Clinical</w:t>
            </w:r>
          </w:p>
        </w:tc>
        <w:tc>
          <w:tcPr>
            <w:tcW w:w="2270" w:type="dxa"/>
            <w:tcBorders>
              <w:top w:val="nil"/>
              <w:left w:val="nil"/>
              <w:right w:val="single" w:sz="8" w:space="0" w:color="auto"/>
            </w:tcBorders>
            <w:shd w:val="clear" w:color="auto" w:fill="auto"/>
            <w:vAlign w:val="center"/>
          </w:tcPr>
          <w:p w:rsidR="00CA26A7" w:rsidRPr="002F3EEA" w:rsidRDefault="00CA26A7" w:rsidP="00CA26A7">
            <w:pPr>
              <w:jc w:val="center"/>
              <w:rPr>
                <w:color w:val="FF0000"/>
                <w:sz w:val="24"/>
              </w:rPr>
            </w:pPr>
            <w:r w:rsidRPr="002F3EEA">
              <w:rPr>
                <w:color w:val="FF0000"/>
                <w:sz w:val="24"/>
              </w:rPr>
              <w:t>(22.89)</w:t>
            </w:r>
          </w:p>
        </w:tc>
        <w:tc>
          <w:tcPr>
            <w:tcW w:w="2208" w:type="dxa"/>
            <w:tcBorders>
              <w:top w:val="nil"/>
              <w:left w:val="nil"/>
              <w:right w:val="single" w:sz="12" w:space="0" w:color="auto"/>
            </w:tcBorders>
            <w:shd w:val="clear" w:color="auto" w:fill="auto"/>
            <w:vAlign w:val="center"/>
          </w:tcPr>
          <w:p w:rsidR="00CA26A7" w:rsidRPr="002F3EEA" w:rsidRDefault="00CA26A7" w:rsidP="00CA26A7">
            <w:pPr>
              <w:jc w:val="center"/>
              <w:rPr>
                <w:color w:val="FF0000"/>
                <w:sz w:val="24"/>
              </w:rPr>
            </w:pPr>
            <w:r w:rsidRPr="002F3EEA">
              <w:rPr>
                <w:color w:val="FF0000"/>
                <w:sz w:val="24"/>
              </w:rPr>
              <w:t>(0.50)</w:t>
            </w:r>
          </w:p>
        </w:tc>
      </w:tr>
      <w:tr w:rsidR="00CA26A7" w:rsidRPr="006E3042" w:rsidTr="00CA26A7">
        <w:trPr>
          <w:trHeight w:val="372"/>
          <w:jc w:val="center"/>
        </w:trPr>
        <w:tc>
          <w:tcPr>
            <w:tcW w:w="4782" w:type="dxa"/>
            <w:tcBorders>
              <w:top w:val="nil"/>
              <w:left w:val="single" w:sz="12" w:space="0" w:color="auto"/>
              <w:bottom w:val="single" w:sz="8" w:space="0" w:color="auto"/>
              <w:right w:val="single" w:sz="8" w:space="0" w:color="auto"/>
            </w:tcBorders>
            <w:shd w:val="clear" w:color="auto" w:fill="auto"/>
            <w:noWrap/>
            <w:hideMark/>
          </w:tcPr>
          <w:p w:rsidR="00CA26A7" w:rsidRPr="00025453" w:rsidRDefault="00CA26A7" w:rsidP="00EE6756">
            <w:pPr>
              <w:rPr>
                <w:rFonts w:eastAsia="Times New Roman" w:cs="Arial"/>
                <w:sz w:val="24"/>
                <w:szCs w:val="24"/>
                <w:lang w:eastAsia="en-GB"/>
              </w:rPr>
            </w:pPr>
            <w:r w:rsidRPr="002238BF">
              <w:rPr>
                <w:rFonts w:eastAsia="Times New Roman" w:cs="Arial"/>
                <w:sz w:val="24"/>
                <w:szCs w:val="24"/>
                <w:lang w:eastAsia="en-GB"/>
              </w:rPr>
              <w:t>Expenditure – Non Pay, Other</w:t>
            </w:r>
          </w:p>
        </w:tc>
        <w:tc>
          <w:tcPr>
            <w:tcW w:w="2270" w:type="dxa"/>
            <w:tcBorders>
              <w:top w:val="nil"/>
              <w:left w:val="nil"/>
              <w:bottom w:val="single" w:sz="8" w:space="0" w:color="auto"/>
              <w:right w:val="single" w:sz="8" w:space="0" w:color="auto"/>
            </w:tcBorders>
            <w:shd w:val="clear" w:color="auto" w:fill="auto"/>
            <w:vAlign w:val="center"/>
            <w:hideMark/>
          </w:tcPr>
          <w:p w:rsidR="00CA26A7" w:rsidRPr="002F3EEA" w:rsidRDefault="00CA26A7" w:rsidP="00CA26A7">
            <w:pPr>
              <w:jc w:val="center"/>
              <w:rPr>
                <w:color w:val="FF0000"/>
                <w:sz w:val="24"/>
              </w:rPr>
            </w:pPr>
            <w:r>
              <w:rPr>
                <w:color w:val="FF0000"/>
                <w:sz w:val="24"/>
              </w:rPr>
              <w:t>(19.4</w:t>
            </w:r>
            <w:r w:rsidRPr="002F3EEA">
              <w:rPr>
                <w:color w:val="FF0000"/>
                <w:sz w:val="24"/>
              </w:rPr>
              <w:t>4)</w:t>
            </w:r>
          </w:p>
        </w:tc>
        <w:tc>
          <w:tcPr>
            <w:tcW w:w="2208" w:type="dxa"/>
            <w:tcBorders>
              <w:top w:val="nil"/>
              <w:left w:val="nil"/>
              <w:bottom w:val="single" w:sz="8" w:space="0" w:color="auto"/>
              <w:right w:val="single" w:sz="12" w:space="0" w:color="auto"/>
            </w:tcBorders>
            <w:shd w:val="clear" w:color="auto" w:fill="auto"/>
            <w:vAlign w:val="center"/>
            <w:hideMark/>
          </w:tcPr>
          <w:p w:rsidR="00CA26A7" w:rsidRPr="002F3EEA" w:rsidRDefault="00CA26A7" w:rsidP="00CA26A7">
            <w:pPr>
              <w:jc w:val="center"/>
              <w:rPr>
                <w:color w:val="FF0000"/>
                <w:sz w:val="24"/>
              </w:rPr>
            </w:pPr>
            <w:r>
              <w:rPr>
                <w:color w:val="FF0000"/>
                <w:sz w:val="24"/>
              </w:rPr>
              <w:t>(0.4</w:t>
            </w:r>
            <w:r w:rsidRPr="002F3EEA">
              <w:rPr>
                <w:color w:val="FF0000"/>
                <w:sz w:val="24"/>
              </w:rPr>
              <w:t>3)</w:t>
            </w:r>
          </w:p>
        </w:tc>
      </w:tr>
      <w:tr w:rsidR="00CA26A7" w:rsidRPr="006E3042" w:rsidTr="00CA26A7">
        <w:trPr>
          <w:trHeight w:val="372"/>
          <w:jc w:val="center"/>
        </w:trPr>
        <w:tc>
          <w:tcPr>
            <w:tcW w:w="4782" w:type="dxa"/>
            <w:tcBorders>
              <w:top w:val="nil"/>
              <w:left w:val="single" w:sz="12" w:space="0" w:color="auto"/>
              <w:bottom w:val="single" w:sz="8" w:space="0" w:color="auto"/>
              <w:right w:val="single" w:sz="8" w:space="0" w:color="auto"/>
            </w:tcBorders>
            <w:shd w:val="clear" w:color="auto" w:fill="auto"/>
            <w:noWrap/>
          </w:tcPr>
          <w:p w:rsidR="00CA26A7" w:rsidRPr="002238BF" w:rsidRDefault="00CA26A7" w:rsidP="00EE6756">
            <w:pPr>
              <w:rPr>
                <w:rFonts w:eastAsia="Times New Roman" w:cs="Arial"/>
                <w:sz w:val="24"/>
                <w:szCs w:val="24"/>
                <w:lang w:eastAsia="en-GB"/>
              </w:rPr>
            </w:pPr>
            <w:r>
              <w:rPr>
                <w:rFonts w:eastAsia="Times New Roman" w:cs="Arial"/>
                <w:sz w:val="24"/>
                <w:szCs w:val="24"/>
                <w:lang w:eastAsia="en-GB"/>
              </w:rPr>
              <w:t>Technical Savings Programme</w:t>
            </w:r>
          </w:p>
        </w:tc>
        <w:tc>
          <w:tcPr>
            <w:tcW w:w="2270" w:type="dxa"/>
            <w:tcBorders>
              <w:top w:val="nil"/>
              <w:left w:val="nil"/>
              <w:bottom w:val="single" w:sz="8" w:space="0" w:color="auto"/>
              <w:right w:val="single" w:sz="8" w:space="0" w:color="auto"/>
            </w:tcBorders>
            <w:shd w:val="clear" w:color="auto" w:fill="auto"/>
            <w:vAlign w:val="center"/>
          </w:tcPr>
          <w:p w:rsidR="00CA26A7" w:rsidRDefault="00CA26A7" w:rsidP="00CA26A7">
            <w:pPr>
              <w:jc w:val="center"/>
              <w:rPr>
                <w:rFonts w:eastAsia="Times New Roman" w:cs="Arial"/>
                <w:color w:val="FF0000"/>
                <w:sz w:val="24"/>
                <w:szCs w:val="24"/>
                <w:lang w:eastAsia="en-GB"/>
              </w:rPr>
            </w:pPr>
            <w:r>
              <w:rPr>
                <w:rFonts w:eastAsia="Times New Roman" w:cs="Arial"/>
                <w:sz w:val="24"/>
                <w:szCs w:val="24"/>
                <w:lang w:eastAsia="en-GB"/>
              </w:rPr>
              <w:t>0.10</w:t>
            </w:r>
          </w:p>
        </w:tc>
        <w:tc>
          <w:tcPr>
            <w:tcW w:w="2208" w:type="dxa"/>
            <w:tcBorders>
              <w:top w:val="nil"/>
              <w:left w:val="nil"/>
              <w:bottom w:val="single" w:sz="8" w:space="0" w:color="auto"/>
              <w:right w:val="single" w:sz="12" w:space="0" w:color="auto"/>
            </w:tcBorders>
            <w:shd w:val="clear" w:color="auto" w:fill="auto"/>
            <w:vAlign w:val="center"/>
          </w:tcPr>
          <w:p w:rsidR="00CA26A7" w:rsidRPr="005B6CA2" w:rsidRDefault="00CA26A7" w:rsidP="00CA26A7">
            <w:pPr>
              <w:jc w:val="center"/>
              <w:rPr>
                <w:rFonts w:eastAsia="Times New Roman" w:cs="Arial"/>
                <w:color w:val="000000" w:themeColor="text1"/>
                <w:sz w:val="24"/>
                <w:szCs w:val="24"/>
                <w:lang w:eastAsia="en-GB"/>
              </w:rPr>
            </w:pPr>
            <w:r>
              <w:rPr>
                <w:rFonts w:eastAsia="Times New Roman" w:cs="Arial"/>
                <w:color w:val="000000" w:themeColor="text1"/>
                <w:sz w:val="24"/>
                <w:szCs w:val="24"/>
                <w:lang w:eastAsia="en-GB"/>
              </w:rPr>
              <w:t>0.10</w:t>
            </w:r>
          </w:p>
        </w:tc>
      </w:tr>
      <w:tr w:rsidR="00CA26A7" w:rsidRPr="006E3042" w:rsidTr="00CA26A7">
        <w:trPr>
          <w:trHeight w:val="405"/>
          <w:jc w:val="center"/>
        </w:trPr>
        <w:tc>
          <w:tcPr>
            <w:tcW w:w="4782" w:type="dxa"/>
            <w:tcBorders>
              <w:top w:val="nil"/>
              <w:left w:val="single" w:sz="12" w:space="0" w:color="auto"/>
              <w:bottom w:val="single" w:sz="8" w:space="0" w:color="auto"/>
              <w:right w:val="single" w:sz="8" w:space="0" w:color="auto"/>
            </w:tcBorders>
            <w:shd w:val="clear" w:color="auto" w:fill="auto"/>
            <w:noWrap/>
            <w:hideMark/>
          </w:tcPr>
          <w:p w:rsidR="00CA26A7" w:rsidRPr="006E3042" w:rsidRDefault="00CA26A7" w:rsidP="00EE6756">
            <w:pPr>
              <w:rPr>
                <w:rFonts w:eastAsia="Times New Roman" w:cs="Arial"/>
                <w:b/>
                <w:bCs/>
                <w:sz w:val="24"/>
                <w:szCs w:val="24"/>
                <w:lang w:eastAsia="en-GB"/>
              </w:rPr>
            </w:pPr>
            <w:r w:rsidRPr="006E3042">
              <w:rPr>
                <w:rFonts w:eastAsia="Times New Roman" w:cs="Arial"/>
                <w:b/>
                <w:bCs/>
                <w:sz w:val="24"/>
                <w:szCs w:val="24"/>
                <w:lang w:eastAsia="en-GB"/>
              </w:rPr>
              <w:t>EBITDA</w:t>
            </w:r>
          </w:p>
        </w:tc>
        <w:tc>
          <w:tcPr>
            <w:tcW w:w="2270" w:type="dxa"/>
            <w:tcBorders>
              <w:top w:val="nil"/>
              <w:left w:val="nil"/>
              <w:bottom w:val="single" w:sz="8" w:space="0" w:color="auto"/>
              <w:right w:val="single" w:sz="8" w:space="0" w:color="auto"/>
            </w:tcBorders>
            <w:shd w:val="clear" w:color="auto" w:fill="auto"/>
            <w:vAlign w:val="center"/>
            <w:hideMark/>
          </w:tcPr>
          <w:p w:rsidR="00CA26A7" w:rsidRPr="002F3EEA" w:rsidRDefault="00CA26A7" w:rsidP="00CA26A7">
            <w:pPr>
              <w:jc w:val="center"/>
              <w:rPr>
                <w:b/>
                <w:color w:val="FF0000"/>
                <w:sz w:val="24"/>
              </w:rPr>
            </w:pPr>
            <w:r w:rsidRPr="002F3EEA">
              <w:rPr>
                <w:b/>
                <w:color w:val="FF0000"/>
                <w:sz w:val="24"/>
              </w:rPr>
              <w:t>(15.17)</w:t>
            </w:r>
          </w:p>
        </w:tc>
        <w:tc>
          <w:tcPr>
            <w:tcW w:w="2208" w:type="dxa"/>
            <w:tcBorders>
              <w:top w:val="nil"/>
              <w:left w:val="nil"/>
              <w:bottom w:val="single" w:sz="8" w:space="0" w:color="auto"/>
              <w:right w:val="single" w:sz="12" w:space="0" w:color="auto"/>
            </w:tcBorders>
            <w:shd w:val="clear" w:color="auto" w:fill="auto"/>
            <w:vAlign w:val="center"/>
            <w:hideMark/>
          </w:tcPr>
          <w:p w:rsidR="00CA26A7" w:rsidRPr="002F3EEA" w:rsidRDefault="00CA26A7" w:rsidP="00CA26A7">
            <w:pPr>
              <w:jc w:val="center"/>
              <w:rPr>
                <w:b/>
                <w:color w:val="FF0000"/>
                <w:sz w:val="24"/>
              </w:rPr>
            </w:pPr>
            <w:r w:rsidRPr="002F3EEA">
              <w:rPr>
                <w:b/>
                <w:color w:val="FF0000"/>
                <w:sz w:val="24"/>
              </w:rPr>
              <w:t>(3.52)</w:t>
            </w:r>
          </w:p>
        </w:tc>
      </w:tr>
      <w:tr w:rsidR="00CA26A7" w:rsidRPr="006E3042" w:rsidTr="00CA26A7">
        <w:trPr>
          <w:trHeight w:val="330"/>
          <w:jc w:val="center"/>
        </w:trPr>
        <w:tc>
          <w:tcPr>
            <w:tcW w:w="4782" w:type="dxa"/>
            <w:tcBorders>
              <w:top w:val="nil"/>
              <w:left w:val="single" w:sz="12" w:space="0" w:color="auto"/>
              <w:bottom w:val="nil"/>
              <w:right w:val="single" w:sz="8" w:space="0" w:color="auto"/>
            </w:tcBorders>
            <w:shd w:val="clear" w:color="auto" w:fill="auto"/>
            <w:noWrap/>
            <w:hideMark/>
          </w:tcPr>
          <w:p w:rsidR="00CA26A7" w:rsidRPr="006E3042" w:rsidRDefault="00CA26A7" w:rsidP="00EE6756">
            <w:pPr>
              <w:rPr>
                <w:rFonts w:eastAsia="Times New Roman" w:cs="Arial"/>
                <w:sz w:val="24"/>
                <w:szCs w:val="24"/>
                <w:lang w:eastAsia="en-GB"/>
              </w:rPr>
            </w:pPr>
            <w:r w:rsidRPr="006E3042">
              <w:rPr>
                <w:rFonts w:eastAsia="Times New Roman" w:cs="Arial"/>
                <w:sz w:val="24"/>
                <w:szCs w:val="24"/>
                <w:lang w:eastAsia="en-GB"/>
              </w:rPr>
              <w:t>Post EBITDA Items</w:t>
            </w:r>
          </w:p>
        </w:tc>
        <w:tc>
          <w:tcPr>
            <w:tcW w:w="2270" w:type="dxa"/>
            <w:tcBorders>
              <w:top w:val="nil"/>
              <w:left w:val="nil"/>
              <w:bottom w:val="nil"/>
              <w:right w:val="single" w:sz="8" w:space="0" w:color="auto"/>
            </w:tcBorders>
            <w:shd w:val="clear" w:color="auto" w:fill="auto"/>
            <w:vAlign w:val="center"/>
            <w:hideMark/>
          </w:tcPr>
          <w:p w:rsidR="00CA26A7" w:rsidRPr="002F3EEA" w:rsidRDefault="00CA26A7" w:rsidP="00CA26A7">
            <w:pPr>
              <w:jc w:val="center"/>
              <w:rPr>
                <w:sz w:val="24"/>
              </w:rPr>
            </w:pPr>
            <w:r w:rsidRPr="002F3EEA">
              <w:rPr>
                <w:sz w:val="24"/>
              </w:rPr>
              <w:t>(4.01)</w:t>
            </w:r>
          </w:p>
        </w:tc>
        <w:tc>
          <w:tcPr>
            <w:tcW w:w="2208" w:type="dxa"/>
            <w:tcBorders>
              <w:top w:val="nil"/>
              <w:left w:val="nil"/>
              <w:bottom w:val="nil"/>
              <w:right w:val="single" w:sz="12" w:space="0" w:color="auto"/>
            </w:tcBorders>
            <w:shd w:val="clear" w:color="auto" w:fill="auto"/>
            <w:vAlign w:val="center"/>
            <w:hideMark/>
          </w:tcPr>
          <w:p w:rsidR="00CA26A7" w:rsidRPr="002F3EEA" w:rsidRDefault="00CA26A7" w:rsidP="00CA26A7">
            <w:pPr>
              <w:jc w:val="center"/>
              <w:rPr>
                <w:sz w:val="24"/>
              </w:rPr>
            </w:pPr>
            <w:r w:rsidRPr="002F3EEA">
              <w:rPr>
                <w:sz w:val="24"/>
              </w:rPr>
              <w:t>0.11</w:t>
            </w:r>
          </w:p>
        </w:tc>
      </w:tr>
      <w:tr w:rsidR="00CA26A7" w:rsidRPr="006E3042" w:rsidTr="00CA26A7">
        <w:trPr>
          <w:trHeight w:val="330"/>
          <w:jc w:val="center"/>
        </w:trPr>
        <w:tc>
          <w:tcPr>
            <w:tcW w:w="4782" w:type="dxa"/>
            <w:tcBorders>
              <w:top w:val="single" w:sz="8" w:space="0" w:color="auto"/>
              <w:left w:val="single" w:sz="12" w:space="0" w:color="auto"/>
              <w:bottom w:val="single" w:sz="8" w:space="0" w:color="auto"/>
              <w:right w:val="single" w:sz="8" w:space="0" w:color="auto"/>
            </w:tcBorders>
            <w:shd w:val="clear" w:color="auto" w:fill="auto"/>
            <w:noWrap/>
            <w:hideMark/>
          </w:tcPr>
          <w:p w:rsidR="00CA26A7" w:rsidRPr="006E3042" w:rsidRDefault="00CA26A7" w:rsidP="00EE6756">
            <w:pPr>
              <w:rPr>
                <w:rFonts w:eastAsia="Times New Roman" w:cs="Arial"/>
                <w:b/>
                <w:bCs/>
                <w:sz w:val="24"/>
                <w:szCs w:val="24"/>
                <w:lang w:eastAsia="en-GB"/>
              </w:rPr>
            </w:pPr>
            <w:r w:rsidRPr="006E3042">
              <w:rPr>
                <w:rFonts w:eastAsia="Times New Roman" w:cs="Arial"/>
                <w:b/>
                <w:bCs/>
                <w:sz w:val="24"/>
                <w:szCs w:val="24"/>
                <w:lang w:eastAsia="en-GB"/>
              </w:rPr>
              <w:t>Trading Surplus/(Deficit)</w:t>
            </w:r>
          </w:p>
        </w:tc>
        <w:tc>
          <w:tcPr>
            <w:tcW w:w="2270" w:type="dxa"/>
            <w:tcBorders>
              <w:top w:val="single" w:sz="8" w:space="0" w:color="auto"/>
              <w:left w:val="nil"/>
              <w:bottom w:val="single" w:sz="8" w:space="0" w:color="auto"/>
              <w:right w:val="single" w:sz="8" w:space="0" w:color="auto"/>
            </w:tcBorders>
            <w:shd w:val="clear" w:color="auto" w:fill="auto"/>
            <w:vAlign w:val="center"/>
            <w:hideMark/>
          </w:tcPr>
          <w:p w:rsidR="00CA26A7" w:rsidRPr="002F3EEA" w:rsidRDefault="00CA26A7" w:rsidP="00CA26A7">
            <w:pPr>
              <w:jc w:val="center"/>
              <w:rPr>
                <w:b/>
                <w:sz w:val="24"/>
              </w:rPr>
            </w:pPr>
            <w:r w:rsidRPr="002F3EEA">
              <w:rPr>
                <w:b/>
                <w:color w:val="FF0000"/>
                <w:sz w:val="24"/>
              </w:rPr>
              <w:t>(19.18)</w:t>
            </w:r>
          </w:p>
        </w:tc>
        <w:tc>
          <w:tcPr>
            <w:tcW w:w="2208" w:type="dxa"/>
            <w:tcBorders>
              <w:top w:val="single" w:sz="8" w:space="0" w:color="auto"/>
              <w:left w:val="nil"/>
              <w:bottom w:val="single" w:sz="8" w:space="0" w:color="auto"/>
              <w:right w:val="single" w:sz="12" w:space="0" w:color="auto"/>
            </w:tcBorders>
            <w:shd w:val="clear" w:color="auto" w:fill="auto"/>
            <w:vAlign w:val="center"/>
            <w:hideMark/>
          </w:tcPr>
          <w:p w:rsidR="00CA26A7" w:rsidRPr="002F3EEA" w:rsidRDefault="00CA26A7" w:rsidP="00CA26A7">
            <w:pPr>
              <w:jc w:val="center"/>
              <w:rPr>
                <w:b/>
                <w:sz w:val="24"/>
              </w:rPr>
            </w:pPr>
            <w:r w:rsidRPr="002F3EEA">
              <w:rPr>
                <w:b/>
                <w:color w:val="FF0000"/>
                <w:sz w:val="24"/>
              </w:rPr>
              <w:t>(3.41)</w:t>
            </w:r>
          </w:p>
        </w:tc>
      </w:tr>
    </w:tbl>
    <w:p w:rsidR="001C59DE" w:rsidRDefault="001C59DE" w:rsidP="00082661"/>
    <w:p w:rsidR="007646AD" w:rsidRDefault="007646AD" w:rsidP="00082661"/>
    <w:p w:rsidR="00A23703" w:rsidRPr="00E939CC" w:rsidRDefault="00A23703" w:rsidP="00A23703">
      <w:pPr>
        <w:rPr>
          <w:sz w:val="24"/>
          <w:szCs w:val="24"/>
        </w:rPr>
      </w:pPr>
      <w:r w:rsidRPr="00E939CC">
        <w:rPr>
          <w:sz w:val="24"/>
          <w:szCs w:val="24"/>
        </w:rPr>
        <w:t>The key variances from the revised plan target are:</w:t>
      </w:r>
    </w:p>
    <w:p w:rsidR="00A23703" w:rsidRPr="00E939CC" w:rsidRDefault="00A23703" w:rsidP="00A23703">
      <w:pPr>
        <w:rPr>
          <w:sz w:val="24"/>
          <w:szCs w:val="24"/>
        </w:rPr>
      </w:pPr>
    </w:p>
    <w:p w:rsidR="00A23703" w:rsidRPr="008655CA" w:rsidRDefault="009D3090" w:rsidP="00A23703">
      <w:pPr>
        <w:pStyle w:val="ListParagraph"/>
        <w:numPr>
          <w:ilvl w:val="0"/>
          <w:numId w:val="26"/>
        </w:numPr>
        <w:rPr>
          <w:sz w:val="24"/>
          <w:szCs w:val="24"/>
        </w:rPr>
      </w:pPr>
      <w:r w:rsidRPr="008655CA">
        <w:rPr>
          <w:sz w:val="24"/>
          <w:szCs w:val="24"/>
        </w:rPr>
        <w:t>Failure</w:t>
      </w:r>
      <w:r w:rsidR="009E623D" w:rsidRPr="008655CA">
        <w:rPr>
          <w:sz w:val="24"/>
          <w:szCs w:val="24"/>
        </w:rPr>
        <w:t xml:space="preserve"> to qualify for PSF income, due to an A&amp;E performance below 90% </w:t>
      </w:r>
      <w:r w:rsidR="00E939CC" w:rsidRPr="008655CA">
        <w:rPr>
          <w:sz w:val="24"/>
          <w:szCs w:val="24"/>
        </w:rPr>
        <w:t xml:space="preserve">and </w:t>
      </w:r>
      <w:r w:rsidR="002A576C" w:rsidRPr="008655CA">
        <w:rPr>
          <w:sz w:val="24"/>
          <w:szCs w:val="24"/>
        </w:rPr>
        <w:t>noncompliance</w:t>
      </w:r>
      <w:r w:rsidR="00E939CC" w:rsidRPr="008655CA">
        <w:rPr>
          <w:sz w:val="24"/>
          <w:szCs w:val="24"/>
        </w:rPr>
        <w:t xml:space="preserve"> with financial control total (£1.56</w:t>
      </w:r>
      <w:r w:rsidR="009E623D" w:rsidRPr="008655CA">
        <w:rPr>
          <w:sz w:val="24"/>
          <w:szCs w:val="24"/>
        </w:rPr>
        <w:t>m)</w:t>
      </w:r>
      <w:r w:rsidR="00A23703" w:rsidRPr="008655CA">
        <w:rPr>
          <w:sz w:val="24"/>
          <w:szCs w:val="24"/>
        </w:rPr>
        <w:t>;</w:t>
      </w:r>
    </w:p>
    <w:p w:rsidR="00A23703" w:rsidRPr="008655CA" w:rsidRDefault="009E623D" w:rsidP="00A23703">
      <w:pPr>
        <w:pStyle w:val="ListParagraph"/>
        <w:numPr>
          <w:ilvl w:val="0"/>
          <w:numId w:val="26"/>
        </w:numPr>
        <w:rPr>
          <w:sz w:val="24"/>
          <w:szCs w:val="24"/>
        </w:rPr>
      </w:pPr>
      <w:r w:rsidRPr="008655CA">
        <w:rPr>
          <w:sz w:val="24"/>
          <w:szCs w:val="24"/>
        </w:rPr>
        <w:t>Income shortfalls linked to act</w:t>
      </w:r>
      <w:r w:rsidR="008655CA" w:rsidRPr="008655CA">
        <w:rPr>
          <w:sz w:val="24"/>
          <w:szCs w:val="24"/>
        </w:rPr>
        <w:t>ivity delivery (£0.99</w:t>
      </w:r>
      <w:r w:rsidR="00A23703" w:rsidRPr="008655CA">
        <w:rPr>
          <w:sz w:val="24"/>
          <w:szCs w:val="24"/>
        </w:rPr>
        <w:t>m);</w:t>
      </w:r>
    </w:p>
    <w:p w:rsidR="00A23703" w:rsidRPr="008655CA" w:rsidRDefault="008655CA" w:rsidP="00A23703">
      <w:pPr>
        <w:pStyle w:val="ListParagraph"/>
        <w:numPr>
          <w:ilvl w:val="0"/>
          <w:numId w:val="26"/>
        </w:numPr>
        <w:rPr>
          <w:sz w:val="24"/>
          <w:szCs w:val="24"/>
        </w:rPr>
      </w:pPr>
      <w:r w:rsidRPr="008655CA">
        <w:rPr>
          <w:sz w:val="24"/>
          <w:szCs w:val="24"/>
        </w:rPr>
        <w:t xml:space="preserve">Continued </w:t>
      </w:r>
      <w:r w:rsidR="00201FA1" w:rsidRPr="008655CA">
        <w:rPr>
          <w:sz w:val="24"/>
          <w:szCs w:val="24"/>
        </w:rPr>
        <w:t>pressures on medi</w:t>
      </w:r>
      <w:r w:rsidRPr="008655CA">
        <w:rPr>
          <w:sz w:val="24"/>
          <w:szCs w:val="24"/>
        </w:rPr>
        <w:t>cal and nursing staff pay (£0.35</w:t>
      </w:r>
      <w:r w:rsidR="00201FA1" w:rsidRPr="008655CA">
        <w:rPr>
          <w:sz w:val="24"/>
          <w:szCs w:val="24"/>
        </w:rPr>
        <w:t>m);</w:t>
      </w:r>
    </w:p>
    <w:p w:rsidR="00A23703" w:rsidRPr="008655CA" w:rsidRDefault="004D35DD" w:rsidP="00A23703">
      <w:pPr>
        <w:pStyle w:val="ListParagraph"/>
        <w:numPr>
          <w:ilvl w:val="0"/>
          <w:numId w:val="26"/>
        </w:numPr>
        <w:rPr>
          <w:sz w:val="24"/>
          <w:szCs w:val="24"/>
        </w:rPr>
      </w:pPr>
      <w:r w:rsidRPr="008655CA">
        <w:rPr>
          <w:sz w:val="24"/>
          <w:szCs w:val="24"/>
        </w:rPr>
        <w:t>Increased admin</w:t>
      </w:r>
      <w:r w:rsidR="00201FA1" w:rsidRPr="008655CA">
        <w:rPr>
          <w:sz w:val="24"/>
          <w:szCs w:val="24"/>
        </w:rPr>
        <w:t xml:space="preserve"> a</w:t>
      </w:r>
      <w:r w:rsidR="008655CA" w:rsidRPr="008655CA">
        <w:rPr>
          <w:sz w:val="24"/>
          <w:szCs w:val="24"/>
        </w:rPr>
        <w:t>nd management staff spend (£0.26</w:t>
      </w:r>
      <w:r w:rsidR="00A23703" w:rsidRPr="008655CA">
        <w:rPr>
          <w:sz w:val="24"/>
          <w:szCs w:val="24"/>
        </w:rPr>
        <w:t>m);</w:t>
      </w:r>
    </w:p>
    <w:p w:rsidR="00A23703" w:rsidRPr="008655CA" w:rsidRDefault="008655CA" w:rsidP="00A23703">
      <w:pPr>
        <w:pStyle w:val="ListParagraph"/>
        <w:numPr>
          <w:ilvl w:val="0"/>
          <w:numId w:val="26"/>
        </w:numPr>
        <w:rPr>
          <w:sz w:val="24"/>
          <w:szCs w:val="24"/>
        </w:rPr>
      </w:pPr>
      <w:r w:rsidRPr="008655CA">
        <w:rPr>
          <w:sz w:val="24"/>
          <w:szCs w:val="24"/>
        </w:rPr>
        <w:t>Savings delivery shortfalls</w:t>
      </w:r>
      <w:r w:rsidR="00201FA1" w:rsidRPr="008655CA">
        <w:rPr>
          <w:sz w:val="24"/>
          <w:szCs w:val="24"/>
        </w:rPr>
        <w:t xml:space="preserve"> on clinical non pay budgets (£0.50m)</w:t>
      </w:r>
      <w:r w:rsidR="00A23703" w:rsidRPr="008655CA">
        <w:rPr>
          <w:sz w:val="24"/>
          <w:szCs w:val="24"/>
        </w:rPr>
        <w:t>;</w:t>
      </w:r>
    </w:p>
    <w:p w:rsidR="00A23703" w:rsidRDefault="00201FA1" w:rsidP="00A23703">
      <w:pPr>
        <w:pStyle w:val="ListParagraph"/>
        <w:numPr>
          <w:ilvl w:val="0"/>
          <w:numId w:val="26"/>
        </w:numPr>
        <w:rPr>
          <w:sz w:val="24"/>
          <w:szCs w:val="24"/>
        </w:rPr>
      </w:pPr>
      <w:r w:rsidRPr="008655CA">
        <w:rPr>
          <w:sz w:val="24"/>
          <w:szCs w:val="24"/>
        </w:rPr>
        <w:t>Additional capacity for imaging services (offset by staff savings agains</w:t>
      </w:r>
      <w:r w:rsidR="008655CA" w:rsidRPr="008655CA">
        <w:rPr>
          <w:sz w:val="24"/>
          <w:szCs w:val="24"/>
        </w:rPr>
        <w:t>t plan) (£0.19</w:t>
      </w:r>
      <w:r w:rsidRPr="008655CA">
        <w:rPr>
          <w:sz w:val="24"/>
          <w:szCs w:val="24"/>
        </w:rPr>
        <w:t>m).</w:t>
      </w:r>
    </w:p>
    <w:p w:rsidR="008655CA" w:rsidRPr="008655CA" w:rsidRDefault="008655CA" w:rsidP="00A23703">
      <w:pPr>
        <w:pStyle w:val="ListParagraph"/>
        <w:numPr>
          <w:ilvl w:val="0"/>
          <w:numId w:val="26"/>
        </w:numPr>
        <w:rPr>
          <w:sz w:val="24"/>
          <w:szCs w:val="24"/>
        </w:rPr>
      </w:pPr>
      <w:r>
        <w:rPr>
          <w:sz w:val="24"/>
          <w:szCs w:val="24"/>
        </w:rPr>
        <w:t>Increased Estates Maintenance and Utilities Costs (0.23m)</w:t>
      </w:r>
    </w:p>
    <w:p w:rsidR="00A23703" w:rsidRPr="00CA26A7" w:rsidRDefault="00A23703" w:rsidP="00D148B8">
      <w:pPr>
        <w:rPr>
          <w:color w:val="FF0000"/>
          <w:sz w:val="24"/>
          <w:szCs w:val="24"/>
        </w:rPr>
      </w:pPr>
    </w:p>
    <w:p w:rsidR="00E97EBB" w:rsidRPr="00E939CC" w:rsidRDefault="00574C0A" w:rsidP="00D148B8">
      <w:pPr>
        <w:rPr>
          <w:sz w:val="24"/>
          <w:szCs w:val="24"/>
        </w:rPr>
      </w:pPr>
      <w:r w:rsidRPr="00E939CC">
        <w:rPr>
          <w:sz w:val="24"/>
          <w:szCs w:val="24"/>
        </w:rPr>
        <w:t>PSF income may be recoverable later in the year in the light of more general performance improvement – though the rules as set would rest</w:t>
      </w:r>
      <w:r w:rsidR="004D35DD" w:rsidRPr="00E939CC">
        <w:rPr>
          <w:sz w:val="24"/>
          <w:szCs w:val="24"/>
        </w:rPr>
        <w:t>rict the Trust’s ability to clai</w:t>
      </w:r>
      <w:r w:rsidRPr="00E939CC">
        <w:rPr>
          <w:sz w:val="24"/>
          <w:szCs w:val="24"/>
        </w:rPr>
        <w:t>m the full allocation.</w:t>
      </w:r>
    </w:p>
    <w:p w:rsidR="00574C0A" w:rsidRPr="00BC1390" w:rsidRDefault="00574C0A" w:rsidP="00D148B8">
      <w:pPr>
        <w:rPr>
          <w:sz w:val="24"/>
          <w:szCs w:val="24"/>
        </w:rPr>
      </w:pPr>
    </w:p>
    <w:p w:rsidR="00574C0A" w:rsidRPr="00BC1390" w:rsidRDefault="00574C0A" w:rsidP="00D148B8">
      <w:pPr>
        <w:rPr>
          <w:sz w:val="24"/>
          <w:szCs w:val="24"/>
        </w:rPr>
      </w:pPr>
      <w:r w:rsidRPr="00BC1390">
        <w:rPr>
          <w:sz w:val="24"/>
          <w:szCs w:val="24"/>
        </w:rPr>
        <w:t>Income de</w:t>
      </w:r>
      <w:r w:rsidR="004D35DD" w:rsidRPr="00BC1390">
        <w:rPr>
          <w:sz w:val="24"/>
          <w:szCs w:val="24"/>
        </w:rPr>
        <w:t>livery depends upon improving pl</w:t>
      </w:r>
      <w:r w:rsidRPr="00BC1390">
        <w:rPr>
          <w:sz w:val="24"/>
          <w:szCs w:val="24"/>
        </w:rPr>
        <w:t>ann</w:t>
      </w:r>
      <w:r w:rsidR="00BC1390" w:rsidRPr="00BC1390">
        <w:rPr>
          <w:sz w:val="24"/>
          <w:szCs w:val="24"/>
        </w:rPr>
        <w:t>ed care output which is only currently partially offset with increased emergency demand. Activity reporting is now available at Specialty and point of delivery level to help focus corrective action for those areas behind plan.</w:t>
      </w:r>
    </w:p>
    <w:p w:rsidR="00574C0A" w:rsidRPr="00CA26A7" w:rsidRDefault="00574C0A" w:rsidP="00D148B8">
      <w:pPr>
        <w:rPr>
          <w:color w:val="FF0000"/>
          <w:sz w:val="24"/>
          <w:szCs w:val="24"/>
        </w:rPr>
      </w:pPr>
    </w:p>
    <w:p w:rsidR="00A23703" w:rsidRPr="0026185C" w:rsidRDefault="00E1160A" w:rsidP="00D148B8">
      <w:pPr>
        <w:rPr>
          <w:sz w:val="24"/>
          <w:szCs w:val="24"/>
        </w:rPr>
      </w:pPr>
      <w:r w:rsidRPr="0026185C">
        <w:rPr>
          <w:sz w:val="24"/>
          <w:szCs w:val="24"/>
        </w:rPr>
        <w:t>Clinical pay is favourably</w:t>
      </w:r>
      <w:r w:rsidR="00574C0A" w:rsidRPr="0026185C">
        <w:rPr>
          <w:sz w:val="24"/>
          <w:szCs w:val="24"/>
        </w:rPr>
        <w:t xml:space="preserve"> balanced overall, but pressures on medical staff and nursing, despite a slow start to savings delivery </w:t>
      </w:r>
      <w:r w:rsidR="004D35DD" w:rsidRPr="0026185C">
        <w:rPr>
          <w:sz w:val="24"/>
          <w:szCs w:val="24"/>
        </w:rPr>
        <w:t xml:space="preserve">anticipated </w:t>
      </w:r>
      <w:r w:rsidR="00574C0A" w:rsidRPr="0026185C">
        <w:rPr>
          <w:sz w:val="24"/>
          <w:szCs w:val="24"/>
        </w:rPr>
        <w:t>within the plan, are generating small but significant overspends.</w:t>
      </w:r>
      <w:r w:rsidRPr="0026185C">
        <w:rPr>
          <w:sz w:val="24"/>
          <w:szCs w:val="24"/>
        </w:rPr>
        <w:t xml:space="preserve"> This reflects some of the systemic issue</w:t>
      </w:r>
      <w:r w:rsidR="004D35DD" w:rsidRPr="0026185C">
        <w:rPr>
          <w:sz w:val="24"/>
          <w:szCs w:val="24"/>
        </w:rPr>
        <w:t>s</w:t>
      </w:r>
      <w:r w:rsidRPr="0026185C">
        <w:rPr>
          <w:sz w:val="24"/>
          <w:szCs w:val="24"/>
        </w:rPr>
        <w:t xml:space="preserve"> highlighted in the NHSI review of temporary staffing management. This will be a key area for control improvements this year – without </w:t>
      </w:r>
      <w:r w:rsidR="004D35DD" w:rsidRPr="0026185C">
        <w:rPr>
          <w:sz w:val="24"/>
          <w:szCs w:val="24"/>
        </w:rPr>
        <w:t>tight grip on nursing and medical staffing</w:t>
      </w:r>
      <w:r w:rsidRPr="0026185C">
        <w:rPr>
          <w:sz w:val="24"/>
          <w:szCs w:val="24"/>
        </w:rPr>
        <w:t xml:space="preserve"> costs, the plan we have agreed cannot be delivered.</w:t>
      </w:r>
    </w:p>
    <w:p w:rsidR="00DD4696" w:rsidRDefault="00DD4696">
      <w:pPr>
        <w:spacing w:after="200" w:line="276" w:lineRule="auto"/>
        <w:jc w:val="left"/>
        <w:rPr>
          <w:color w:val="FF0000"/>
          <w:sz w:val="24"/>
          <w:szCs w:val="24"/>
        </w:rPr>
      </w:pPr>
      <w:r>
        <w:rPr>
          <w:color w:val="FF0000"/>
          <w:sz w:val="24"/>
          <w:szCs w:val="24"/>
        </w:rPr>
        <w:br w:type="page"/>
      </w:r>
    </w:p>
    <w:p w:rsidR="00E1160A" w:rsidRPr="00CA26A7" w:rsidRDefault="00E1160A" w:rsidP="00D148B8">
      <w:pPr>
        <w:rPr>
          <w:color w:val="FF0000"/>
          <w:sz w:val="24"/>
          <w:szCs w:val="24"/>
        </w:rPr>
      </w:pPr>
    </w:p>
    <w:p w:rsidR="006B092E" w:rsidRPr="0026185C" w:rsidRDefault="004D35DD" w:rsidP="00D148B8">
      <w:pPr>
        <w:rPr>
          <w:sz w:val="24"/>
          <w:szCs w:val="24"/>
        </w:rPr>
      </w:pPr>
      <w:r w:rsidRPr="0026185C">
        <w:rPr>
          <w:sz w:val="24"/>
          <w:szCs w:val="24"/>
        </w:rPr>
        <w:t>Increased clinical suppli</w:t>
      </w:r>
      <w:r w:rsidR="00E9223E" w:rsidRPr="0026185C">
        <w:rPr>
          <w:sz w:val="24"/>
          <w:szCs w:val="24"/>
        </w:rPr>
        <w:t>es cos</w:t>
      </w:r>
      <w:r w:rsidRPr="0026185C">
        <w:rPr>
          <w:sz w:val="24"/>
          <w:szCs w:val="24"/>
        </w:rPr>
        <w:t>ts exceed the pressures anticip</w:t>
      </w:r>
      <w:r w:rsidR="00E9223E" w:rsidRPr="0026185C">
        <w:rPr>
          <w:sz w:val="24"/>
          <w:szCs w:val="24"/>
        </w:rPr>
        <w:t>ated in plan for increased activity – even though activit</w:t>
      </w:r>
      <w:r w:rsidRPr="0026185C">
        <w:rPr>
          <w:sz w:val="24"/>
          <w:szCs w:val="24"/>
        </w:rPr>
        <w:t>y</w:t>
      </w:r>
      <w:r w:rsidR="00E9223E" w:rsidRPr="0026185C">
        <w:rPr>
          <w:sz w:val="24"/>
          <w:szCs w:val="24"/>
        </w:rPr>
        <w:t xml:space="preserve"> has increased in urgent care, and some recovery has been delivered in planned care. Pressures are focussed on surgical activity, w</w:t>
      </w:r>
      <w:r w:rsidRPr="0026185C">
        <w:rPr>
          <w:sz w:val="24"/>
          <w:szCs w:val="24"/>
        </w:rPr>
        <w:t xml:space="preserve">hich, though increased, remains </w:t>
      </w:r>
      <w:r w:rsidR="00E9223E" w:rsidRPr="0026185C">
        <w:rPr>
          <w:sz w:val="24"/>
          <w:szCs w:val="24"/>
        </w:rPr>
        <w:t>belo</w:t>
      </w:r>
      <w:r w:rsidRPr="0026185C">
        <w:rPr>
          <w:sz w:val="24"/>
          <w:szCs w:val="24"/>
        </w:rPr>
        <w:t>w</w:t>
      </w:r>
      <w:r w:rsidR="00E9223E" w:rsidRPr="0026185C">
        <w:rPr>
          <w:sz w:val="24"/>
          <w:szCs w:val="24"/>
        </w:rPr>
        <w:t xml:space="preserve"> plan.</w:t>
      </w:r>
      <w:r w:rsidR="0026185C" w:rsidRPr="0026185C">
        <w:rPr>
          <w:sz w:val="24"/>
          <w:szCs w:val="24"/>
        </w:rPr>
        <w:t xml:space="preserve"> 30% of this pressure is related to the standardisation of the Orthopaedic Prosthesis savings programme.</w:t>
      </w:r>
    </w:p>
    <w:p w:rsidR="004B342A" w:rsidRDefault="004B342A" w:rsidP="00D148B8">
      <w:pPr>
        <w:rPr>
          <w:color w:val="FF0000"/>
          <w:sz w:val="24"/>
          <w:szCs w:val="24"/>
        </w:rPr>
      </w:pPr>
    </w:p>
    <w:p w:rsidR="0026185C" w:rsidRPr="0026185C" w:rsidRDefault="0026185C" w:rsidP="00D148B8">
      <w:pPr>
        <w:rPr>
          <w:sz w:val="24"/>
          <w:szCs w:val="24"/>
        </w:rPr>
      </w:pPr>
      <w:r w:rsidRPr="0026185C">
        <w:rPr>
          <w:sz w:val="24"/>
          <w:szCs w:val="24"/>
        </w:rPr>
        <w:t>Increased Estates maintenance costs, particularly at Goole and increased utilities costs due to failing partnership systems are a key pressure area and need immediate review.</w:t>
      </w:r>
    </w:p>
    <w:p w:rsidR="0026185C" w:rsidRPr="0026185C" w:rsidRDefault="0026185C" w:rsidP="00D148B8">
      <w:pPr>
        <w:rPr>
          <w:sz w:val="24"/>
          <w:szCs w:val="24"/>
        </w:rPr>
      </w:pPr>
    </w:p>
    <w:p w:rsidR="00E9223E" w:rsidRPr="0026185C" w:rsidRDefault="00E9223E" w:rsidP="00D148B8">
      <w:pPr>
        <w:rPr>
          <w:sz w:val="24"/>
          <w:szCs w:val="24"/>
        </w:rPr>
      </w:pPr>
      <w:r w:rsidRPr="0026185C">
        <w:rPr>
          <w:sz w:val="24"/>
          <w:szCs w:val="24"/>
        </w:rPr>
        <w:t>Additional bought in capacity for Imaging is the final notable expenditure pressure – though there is an offset with underspends on clinical staffing for imaging for the year to date.</w:t>
      </w:r>
    </w:p>
    <w:p w:rsidR="00A23703" w:rsidRPr="0026185C" w:rsidRDefault="00A23703" w:rsidP="00D148B8"/>
    <w:p w:rsidR="00147DDE" w:rsidRDefault="00147DDE" w:rsidP="00147DDE">
      <w:pPr>
        <w:spacing w:before="240"/>
        <w:rPr>
          <w:b/>
          <w:sz w:val="24"/>
          <w:szCs w:val="24"/>
        </w:rPr>
      </w:pPr>
      <w:r>
        <w:rPr>
          <w:b/>
          <w:sz w:val="24"/>
          <w:szCs w:val="24"/>
        </w:rPr>
        <w:t>I&amp;E Run Rate Position:</w:t>
      </w:r>
    </w:p>
    <w:p w:rsidR="00147DDE" w:rsidRPr="00CA26A7" w:rsidRDefault="00CA26A7" w:rsidP="00147DDE">
      <w:pPr>
        <w:spacing w:before="240"/>
        <w:rPr>
          <w:sz w:val="24"/>
          <w:szCs w:val="24"/>
        </w:rPr>
      </w:pPr>
      <w:r w:rsidRPr="00CA26A7">
        <w:rPr>
          <w:sz w:val="24"/>
          <w:szCs w:val="24"/>
        </w:rPr>
        <w:t>The following graph sets out the run rate by month, showing the I&amp;E position against target. 17/18 shows the underlying position, excluding technical and exceptional items, for comparison</w:t>
      </w:r>
      <w:r w:rsidR="00931D56" w:rsidRPr="00CA26A7">
        <w:rPr>
          <w:sz w:val="24"/>
          <w:szCs w:val="24"/>
        </w:rPr>
        <w:t>:</w:t>
      </w:r>
    </w:p>
    <w:p w:rsidR="00440858" w:rsidRDefault="00CA26A7" w:rsidP="00147DDE">
      <w:pPr>
        <w:spacing w:before="240"/>
      </w:pPr>
      <w:r w:rsidRPr="00CA26A7">
        <w:rPr>
          <w:noProof/>
          <w:lang w:eastAsia="en-GB"/>
        </w:rPr>
        <w:drawing>
          <wp:inline distT="0" distB="0" distL="0" distR="0" wp14:anchorId="073CAFB4" wp14:editId="3E2D4C28">
            <wp:extent cx="6730409" cy="1531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34394" cy="1531996"/>
                    </a:xfrm>
                    <a:prstGeom prst="rect">
                      <a:avLst/>
                    </a:prstGeom>
                  </pic:spPr>
                </pic:pic>
              </a:graphicData>
            </a:graphic>
          </wp:inline>
        </w:drawing>
      </w:r>
    </w:p>
    <w:p w:rsidR="00EE6756" w:rsidRDefault="00EE6756" w:rsidP="00931D56">
      <w:pPr>
        <w:spacing w:after="200" w:line="276" w:lineRule="auto"/>
        <w:rPr>
          <w:sz w:val="24"/>
          <w:szCs w:val="24"/>
        </w:rPr>
      </w:pPr>
    </w:p>
    <w:p w:rsidR="005C1C61" w:rsidRDefault="00931D56" w:rsidP="00DD4696">
      <w:pPr>
        <w:rPr>
          <w:sz w:val="24"/>
          <w:szCs w:val="24"/>
        </w:rPr>
      </w:pPr>
      <w:r w:rsidRPr="002B3417">
        <w:rPr>
          <w:sz w:val="24"/>
          <w:szCs w:val="24"/>
        </w:rPr>
        <w:t>The deterioration in</w:t>
      </w:r>
      <w:r w:rsidR="004D35DD" w:rsidRPr="002B3417">
        <w:rPr>
          <w:sz w:val="24"/>
          <w:szCs w:val="24"/>
        </w:rPr>
        <w:t xml:space="preserve"> April, as the Trust’</w:t>
      </w:r>
      <w:r w:rsidRPr="002B3417">
        <w:rPr>
          <w:sz w:val="24"/>
          <w:szCs w:val="24"/>
        </w:rPr>
        <w:t>s underperformance on planned care activity was no longer protected by the 2017/18 block contract agreement, highlights the most significant variable – activity driven income.</w:t>
      </w:r>
    </w:p>
    <w:p w:rsidR="00DD4696" w:rsidRPr="002B3417" w:rsidRDefault="00DD4696" w:rsidP="00DD4696">
      <w:pPr>
        <w:rPr>
          <w:sz w:val="24"/>
          <w:szCs w:val="24"/>
        </w:rPr>
      </w:pPr>
    </w:p>
    <w:p w:rsidR="002B3417" w:rsidRDefault="002B3417" w:rsidP="00DD4696">
      <w:pPr>
        <w:rPr>
          <w:sz w:val="24"/>
          <w:szCs w:val="24"/>
        </w:rPr>
      </w:pPr>
      <w:r w:rsidRPr="002B3417">
        <w:rPr>
          <w:sz w:val="24"/>
          <w:szCs w:val="24"/>
        </w:rPr>
        <w:t>However, July did see improvement in activity and income performance following a disappointing June resulting in an improvement in the run rate back in line with plan. This will need to be continued over the remaining months given the expectation in plan that serious progress is made on expenditure reduction during Q2 and Q3.</w:t>
      </w:r>
    </w:p>
    <w:p w:rsidR="00DD4696" w:rsidRPr="002B3417" w:rsidRDefault="00DD4696" w:rsidP="00DD4696">
      <w:pPr>
        <w:rPr>
          <w:sz w:val="24"/>
          <w:szCs w:val="24"/>
        </w:rPr>
      </w:pPr>
    </w:p>
    <w:p w:rsidR="005C1C61" w:rsidRPr="002B3417" w:rsidRDefault="005C1C61" w:rsidP="005C1C61">
      <w:pPr>
        <w:spacing w:after="200" w:line="276" w:lineRule="auto"/>
        <w:rPr>
          <w:sz w:val="24"/>
          <w:szCs w:val="24"/>
        </w:rPr>
      </w:pPr>
      <w:r w:rsidRPr="002B3417">
        <w:rPr>
          <w:sz w:val="24"/>
          <w:szCs w:val="24"/>
        </w:rPr>
        <w:t xml:space="preserve">This highlights </w:t>
      </w:r>
      <w:r w:rsidR="00931D56" w:rsidRPr="002B3417">
        <w:rPr>
          <w:sz w:val="24"/>
          <w:szCs w:val="24"/>
        </w:rPr>
        <w:t>again the</w:t>
      </w:r>
      <w:r w:rsidRPr="002B3417">
        <w:rPr>
          <w:sz w:val="24"/>
          <w:szCs w:val="24"/>
        </w:rPr>
        <w:t xml:space="preserve"> fundamental issues facing the organisation:</w:t>
      </w:r>
    </w:p>
    <w:p w:rsidR="005C1C61" w:rsidRPr="002B3417" w:rsidRDefault="005C1C61" w:rsidP="005C1C61">
      <w:pPr>
        <w:pStyle w:val="ListParagraph"/>
        <w:numPr>
          <w:ilvl w:val="0"/>
          <w:numId w:val="32"/>
        </w:numPr>
        <w:spacing w:after="200" w:line="276" w:lineRule="auto"/>
        <w:rPr>
          <w:sz w:val="24"/>
          <w:szCs w:val="24"/>
        </w:rPr>
      </w:pPr>
      <w:r w:rsidRPr="002B3417">
        <w:rPr>
          <w:sz w:val="24"/>
          <w:szCs w:val="24"/>
        </w:rPr>
        <w:t>The chronic productivity issues affecting many areas of planned care</w:t>
      </w:r>
      <w:r w:rsidR="00931D56" w:rsidRPr="002B3417">
        <w:rPr>
          <w:sz w:val="24"/>
          <w:szCs w:val="24"/>
        </w:rPr>
        <w:t>, which we have only started to resolve</w:t>
      </w:r>
      <w:r w:rsidRPr="002B3417">
        <w:rPr>
          <w:sz w:val="24"/>
          <w:szCs w:val="24"/>
        </w:rPr>
        <w:t>;</w:t>
      </w:r>
    </w:p>
    <w:p w:rsidR="005C1C61" w:rsidRPr="002B3417" w:rsidRDefault="005C1C61" w:rsidP="005C1C61">
      <w:pPr>
        <w:pStyle w:val="ListParagraph"/>
        <w:numPr>
          <w:ilvl w:val="0"/>
          <w:numId w:val="32"/>
        </w:numPr>
        <w:spacing w:after="200" w:line="276" w:lineRule="auto"/>
        <w:rPr>
          <w:sz w:val="24"/>
          <w:szCs w:val="24"/>
        </w:rPr>
      </w:pPr>
      <w:r w:rsidRPr="002B3417">
        <w:rPr>
          <w:sz w:val="24"/>
          <w:szCs w:val="24"/>
        </w:rPr>
        <w:t xml:space="preserve">The </w:t>
      </w:r>
      <w:r w:rsidR="00D2778F" w:rsidRPr="002B3417">
        <w:rPr>
          <w:sz w:val="24"/>
          <w:szCs w:val="24"/>
        </w:rPr>
        <w:t>difficulties managing clinical staffing deployments to minimise operational risk and support wider cost control of agency staffing;</w:t>
      </w:r>
    </w:p>
    <w:p w:rsidR="005C1C61" w:rsidRPr="002B3417" w:rsidRDefault="00D2778F" w:rsidP="005C1C61">
      <w:pPr>
        <w:pStyle w:val="ListParagraph"/>
        <w:numPr>
          <w:ilvl w:val="0"/>
          <w:numId w:val="32"/>
        </w:numPr>
        <w:spacing w:after="200" w:line="276" w:lineRule="auto"/>
        <w:rPr>
          <w:sz w:val="24"/>
          <w:szCs w:val="24"/>
        </w:rPr>
      </w:pPr>
      <w:r w:rsidRPr="002B3417">
        <w:rPr>
          <w:sz w:val="24"/>
          <w:szCs w:val="24"/>
        </w:rPr>
        <w:t>The pressures derived from not yet having completed the review of Operational management teams</w:t>
      </w:r>
      <w:r w:rsidR="005C1C61" w:rsidRPr="002B3417">
        <w:rPr>
          <w:sz w:val="24"/>
          <w:szCs w:val="24"/>
        </w:rPr>
        <w:t>;</w:t>
      </w:r>
    </w:p>
    <w:p w:rsidR="005C1C61" w:rsidRPr="002B3417" w:rsidRDefault="005C1C61" w:rsidP="005C1C61">
      <w:pPr>
        <w:pStyle w:val="ListParagraph"/>
        <w:numPr>
          <w:ilvl w:val="0"/>
          <w:numId w:val="32"/>
        </w:numPr>
        <w:spacing w:after="200" w:line="276" w:lineRule="auto"/>
        <w:rPr>
          <w:sz w:val="24"/>
          <w:szCs w:val="24"/>
        </w:rPr>
      </w:pPr>
      <w:r w:rsidRPr="002B3417">
        <w:rPr>
          <w:sz w:val="24"/>
          <w:szCs w:val="24"/>
        </w:rPr>
        <w:t xml:space="preserve">The </w:t>
      </w:r>
      <w:r w:rsidR="00D2778F" w:rsidRPr="002B3417">
        <w:rPr>
          <w:sz w:val="24"/>
          <w:szCs w:val="24"/>
        </w:rPr>
        <w:t>difficulties in controlling capacity expansion costs for both unplanned and planned care without a fully approved clinical strategy</w:t>
      </w:r>
      <w:r w:rsidRPr="002B3417">
        <w:rPr>
          <w:sz w:val="24"/>
          <w:szCs w:val="24"/>
        </w:rPr>
        <w:t>.</w:t>
      </w:r>
    </w:p>
    <w:p w:rsidR="005C1C61" w:rsidRDefault="00D2778F" w:rsidP="00DD4696">
      <w:pPr>
        <w:rPr>
          <w:sz w:val="24"/>
          <w:szCs w:val="24"/>
        </w:rPr>
      </w:pPr>
      <w:r w:rsidRPr="002B3417">
        <w:rPr>
          <w:sz w:val="24"/>
          <w:szCs w:val="24"/>
        </w:rPr>
        <w:lastRenderedPageBreak/>
        <w:t xml:space="preserve">The Trust will continue to mitigate these risks, but step change improvement will need to see clear agreement on clinical </w:t>
      </w:r>
      <w:r w:rsidR="009D3090" w:rsidRPr="002B3417">
        <w:rPr>
          <w:sz w:val="24"/>
          <w:szCs w:val="24"/>
        </w:rPr>
        <w:t>strategy</w:t>
      </w:r>
      <w:r w:rsidRPr="002B3417">
        <w:rPr>
          <w:sz w:val="24"/>
          <w:szCs w:val="24"/>
        </w:rPr>
        <w:t xml:space="preserve">, and fundamental review of </w:t>
      </w:r>
      <w:r w:rsidR="009D3090" w:rsidRPr="002B3417">
        <w:rPr>
          <w:sz w:val="24"/>
          <w:szCs w:val="24"/>
        </w:rPr>
        <w:t>management</w:t>
      </w:r>
      <w:r w:rsidRPr="002B3417">
        <w:rPr>
          <w:sz w:val="24"/>
          <w:szCs w:val="24"/>
        </w:rPr>
        <w:t xml:space="preserve"> systems, particularly in respect of clinical staffing.</w:t>
      </w:r>
    </w:p>
    <w:p w:rsidR="00DD4696" w:rsidRPr="002B3417" w:rsidRDefault="00DD4696" w:rsidP="00DD4696">
      <w:pPr>
        <w:rPr>
          <w:sz w:val="24"/>
          <w:szCs w:val="24"/>
        </w:rPr>
      </w:pPr>
    </w:p>
    <w:p w:rsidR="003944A4" w:rsidRDefault="00D2778F" w:rsidP="00DD4696">
      <w:pPr>
        <w:rPr>
          <w:sz w:val="24"/>
          <w:szCs w:val="24"/>
        </w:rPr>
      </w:pPr>
      <w:r w:rsidRPr="002B3417">
        <w:rPr>
          <w:sz w:val="24"/>
          <w:szCs w:val="24"/>
        </w:rPr>
        <w:t xml:space="preserve">In year technical support will be limited in 2018/19, balance sheet opportunities having been exhausted in 2017/18. Any available </w:t>
      </w:r>
      <w:r w:rsidR="009D3090" w:rsidRPr="002B3417">
        <w:rPr>
          <w:sz w:val="24"/>
          <w:szCs w:val="24"/>
        </w:rPr>
        <w:t>flexibility</w:t>
      </w:r>
      <w:r w:rsidRPr="002B3417">
        <w:rPr>
          <w:sz w:val="24"/>
          <w:szCs w:val="24"/>
        </w:rPr>
        <w:t xml:space="preserve"> will be required to offset additional interest costs related to shortfalls on plan delivery in 2018/19.</w:t>
      </w:r>
    </w:p>
    <w:p w:rsidR="00DD4696" w:rsidRPr="002B3417" w:rsidRDefault="00DD4696" w:rsidP="00DD4696">
      <w:pPr>
        <w:rPr>
          <w:b/>
          <w:sz w:val="24"/>
          <w:szCs w:val="24"/>
        </w:rPr>
      </w:pPr>
    </w:p>
    <w:p w:rsidR="00F43602" w:rsidRPr="00A65520" w:rsidRDefault="00F43602" w:rsidP="00F43602">
      <w:pPr>
        <w:spacing w:after="200" w:line="276" w:lineRule="auto"/>
        <w:jc w:val="left"/>
        <w:rPr>
          <w:b/>
          <w:sz w:val="24"/>
          <w:szCs w:val="24"/>
        </w:rPr>
      </w:pPr>
      <w:r w:rsidRPr="00A65520">
        <w:rPr>
          <w:b/>
          <w:sz w:val="24"/>
          <w:szCs w:val="24"/>
        </w:rPr>
        <w:t>Full Year Forecast</w:t>
      </w:r>
      <w:r w:rsidR="005C1C61" w:rsidRPr="00A65520">
        <w:rPr>
          <w:b/>
          <w:sz w:val="24"/>
          <w:szCs w:val="24"/>
        </w:rPr>
        <w:t xml:space="preserve"> </w:t>
      </w:r>
      <w:r w:rsidR="009C2294" w:rsidRPr="00A65520">
        <w:rPr>
          <w:b/>
          <w:sz w:val="24"/>
          <w:szCs w:val="24"/>
        </w:rPr>
        <w:t>as at M0</w:t>
      </w:r>
      <w:r w:rsidR="00A65520">
        <w:rPr>
          <w:b/>
          <w:sz w:val="24"/>
          <w:szCs w:val="24"/>
        </w:rPr>
        <w:t>4</w:t>
      </w:r>
      <w:r w:rsidRPr="00A65520">
        <w:rPr>
          <w:b/>
          <w:sz w:val="24"/>
          <w:szCs w:val="24"/>
        </w:rPr>
        <w:t>:</w:t>
      </w:r>
    </w:p>
    <w:p w:rsidR="00675B05" w:rsidRPr="00A65520" w:rsidRDefault="00675B05" w:rsidP="00D148B8">
      <w:pPr>
        <w:jc w:val="left"/>
        <w:rPr>
          <w:sz w:val="24"/>
          <w:szCs w:val="24"/>
        </w:rPr>
      </w:pPr>
      <w:r w:rsidRPr="00A65520">
        <w:rPr>
          <w:sz w:val="24"/>
          <w:szCs w:val="24"/>
        </w:rPr>
        <w:t>Having submitted a reset plan in June, th</w:t>
      </w:r>
      <w:r w:rsidR="00FB5643" w:rsidRPr="00A65520">
        <w:rPr>
          <w:sz w:val="24"/>
          <w:szCs w:val="24"/>
        </w:rPr>
        <w:t>e</w:t>
      </w:r>
      <w:r w:rsidRPr="00A65520">
        <w:rPr>
          <w:sz w:val="24"/>
          <w:szCs w:val="24"/>
        </w:rPr>
        <w:t xml:space="preserve"> Trust’s</w:t>
      </w:r>
      <w:r w:rsidR="00264A25" w:rsidRPr="00A65520">
        <w:rPr>
          <w:sz w:val="24"/>
          <w:szCs w:val="24"/>
        </w:rPr>
        <w:t xml:space="preserve"> </w:t>
      </w:r>
      <w:r w:rsidRPr="00A65520">
        <w:rPr>
          <w:sz w:val="24"/>
          <w:szCs w:val="24"/>
        </w:rPr>
        <w:t>formal forecast i</w:t>
      </w:r>
      <w:r w:rsidR="00264A25" w:rsidRPr="00A65520">
        <w:rPr>
          <w:sz w:val="24"/>
          <w:szCs w:val="24"/>
        </w:rPr>
        <w:t>s tied</w:t>
      </w:r>
      <w:r w:rsidRPr="00A65520">
        <w:rPr>
          <w:sz w:val="24"/>
          <w:szCs w:val="24"/>
        </w:rPr>
        <w:t xml:space="preserve"> to that projection:</w:t>
      </w:r>
    </w:p>
    <w:p w:rsidR="00675B05" w:rsidRPr="00A65520" w:rsidRDefault="00675B05" w:rsidP="00D148B8">
      <w:pPr>
        <w:jc w:val="left"/>
        <w:rPr>
          <w:sz w:val="24"/>
          <w:szCs w:val="24"/>
        </w:rPr>
      </w:pPr>
    </w:p>
    <w:p w:rsidR="00675B05" w:rsidRPr="00A65520" w:rsidRDefault="00FB5643" w:rsidP="00D148B8">
      <w:pPr>
        <w:jc w:val="left"/>
        <w:rPr>
          <w:sz w:val="24"/>
          <w:szCs w:val="24"/>
        </w:rPr>
      </w:pPr>
      <w:r w:rsidRPr="00A65520">
        <w:rPr>
          <w:sz w:val="24"/>
          <w:szCs w:val="24"/>
        </w:rPr>
        <w:t xml:space="preserve">Control Total </w:t>
      </w:r>
      <w:r w:rsidR="00675B05" w:rsidRPr="00A65520">
        <w:rPr>
          <w:sz w:val="24"/>
          <w:szCs w:val="24"/>
        </w:rPr>
        <w:t>De</w:t>
      </w:r>
      <w:r w:rsidRPr="00A65520">
        <w:rPr>
          <w:sz w:val="24"/>
          <w:szCs w:val="24"/>
        </w:rPr>
        <w:t>ficit (excluding PSF and donated asset</w:t>
      </w:r>
      <w:r w:rsidR="00675B05" w:rsidRPr="00A65520">
        <w:rPr>
          <w:sz w:val="24"/>
          <w:szCs w:val="24"/>
        </w:rPr>
        <w:t xml:space="preserve"> transactions):</w:t>
      </w:r>
      <w:r w:rsidR="00675B05" w:rsidRPr="00A65520">
        <w:rPr>
          <w:sz w:val="24"/>
          <w:szCs w:val="24"/>
        </w:rPr>
        <w:tab/>
      </w:r>
      <w:r w:rsidR="00675B05" w:rsidRPr="00A65520">
        <w:rPr>
          <w:sz w:val="24"/>
          <w:szCs w:val="24"/>
        </w:rPr>
        <w:tab/>
      </w:r>
      <w:r w:rsidR="00675B05" w:rsidRPr="00A65520">
        <w:rPr>
          <w:sz w:val="24"/>
          <w:szCs w:val="24"/>
        </w:rPr>
        <w:tab/>
        <w:t>(£3</w:t>
      </w:r>
      <w:r w:rsidR="00264A25" w:rsidRPr="00A65520">
        <w:rPr>
          <w:sz w:val="24"/>
          <w:szCs w:val="24"/>
        </w:rPr>
        <w:t>9</w:t>
      </w:r>
      <w:r w:rsidR="00675B05" w:rsidRPr="00A65520">
        <w:rPr>
          <w:sz w:val="24"/>
          <w:szCs w:val="24"/>
        </w:rPr>
        <w:t>.6m)</w:t>
      </w:r>
    </w:p>
    <w:p w:rsidR="00675B05" w:rsidRPr="00A65520" w:rsidRDefault="00675B05" w:rsidP="00D148B8">
      <w:pPr>
        <w:jc w:val="left"/>
        <w:rPr>
          <w:sz w:val="24"/>
          <w:szCs w:val="24"/>
        </w:rPr>
      </w:pPr>
    </w:p>
    <w:p w:rsidR="00675B05" w:rsidRPr="00A65520" w:rsidRDefault="00FB5643" w:rsidP="00D148B8">
      <w:pPr>
        <w:jc w:val="left"/>
        <w:rPr>
          <w:sz w:val="24"/>
          <w:szCs w:val="24"/>
        </w:rPr>
      </w:pPr>
      <w:r w:rsidRPr="00A65520">
        <w:rPr>
          <w:sz w:val="24"/>
          <w:szCs w:val="24"/>
        </w:rPr>
        <w:t>Donated Asset Transactions:</w:t>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t xml:space="preserve">   £1.1m</w:t>
      </w:r>
    </w:p>
    <w:p w:rsidR="00FB5643" w:rsidRPr="00A65520" w:rsidRDefault="00FB5643" w:rsidP="00D148B8">
      <w:pPr>
        <w:jc w:val="left"/>
        <w:rPr>
          <w:sz w:val="24"/>
          <w:szCs w:val="24"/>
        </w:rPr>
      </w:pPr>
      <w:r w:rsidRPr="00A65520">
        <w:rPr>
          <w:sz w:val="24"/>
          <w:szCs w:val="24"/>
        </w:rPr>
        <w:t>Provider Sustainability Fund:</w:t>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t xml:space="preserve">   £7.2m</w:t>
      </w:r>
    </w:p>
    <w:p w:rsidR="00FB5643" w:rsidRPr="00A65520" w:rsidRDefault="00FB5643" w:rsidP="00D148B8">
      <w:pPr>
        <w:jc w:val="left"/>
        <w:rPr>
          <w:sz w:val="24"/>
          <w:szCs w:val="24"/>
        </w:rPr>
      </w:pPr>
    </w:p>
    <w:p w:rsidR="00FB5643" w:rsidRPr="00A65520" w:rsidRDefault="00FB5643" w:rsidP="00D148B8">
      <w:pPr>
        <w:jc w:val="left"/>
        <w:rPr>
          <w:b/>
          <w:sz w:val="24"/>
          <w:szCs w:val="24"/>
        </w:rPr>
      </w:pPr>
      <w:r w:rsidRPr="00A65520">
        <w:rPr>
          <w:b/>
          <w:sz w:val="24"/>
          <w:szCs w:val="24"/>
        </w:rPr>
        <w:t>Headline Plan Deficit:</w:t>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t>(£31.3m)</w:t>
      </w:r>
    </w:p>
    <w:p w:rsidR="00FB5643" w:rsidRPr="00CE3140" w:rsidRDefault="00FB5643" w:rsidP="00D148B8">
      <w:pPr>
        <w:jc w:val="left"/>
        <w:rPr>
          <w:color w:val="FF0000"/>
          <w:sz w:val="24"/>
          <w:szCs w:val="24"/>
        </w:rPr>
      </w:pPr>
    </w:p>
    <w:p w:rsidR="00FB5643" w:rsidRPr="00A65520" w:rsidRDefault="00FB5643" w:rsidP="004F450A">
      <w:pPr>
        <w:rPr>
          <w:sz w:val="24"/>
          <w:szCs w:val="24"/>
        </w:rPr>
      </w:pPr>
      <w:r w:rsidRPr="00A65520">
        <w:rPr>
          <w:sz w:val="24"/>
          <w:szCs w:val="24"/>
        </w:rPr>
        <w:t>At this stage, it is difficult to establish a robust detailed forecast, but a broad outline of the likely position can be extrapolated fr</w:t>
      </w:r>
      <w:r w:rsidR="00A65520" w:rsidRPr="00A65520">
        <w:rPr>
          <w:sz w:val="24"/>
          <w:szCs w:val="24"/>
        </w:rPr>
        <w:t>o</w:t>
      </w:r>
      <w:r w:rsidRPr="00A65520">
        <w:rPr>
          <w:sz w:val="24"/>
          <w:szCs w:val="24"/>
        </w:rPr>
        <w:t xml:space="preserve">m the month </w:t>
      </w:r>
      <w:r w:rsidR="00A65520" w:rsidRPr="00A65520">
        <w:rPr>
          <w:sz w:val="24"/>
          <w:szCs w:val="24"/>
        </w:rPr>
        <w:t>4</w:t>
      </w:r>
      <w:r w:rsidRPr="00A65520">
        <w:rPr>
          <w:sz w:val="24"/>
          <w:szCs w:val="24"/>
        </w:rPr>
        <w:t xml:space="preserve"> position:</w:t>
      </w:r>
    </w:p>
    <w:p w:rsidR="00FB5643" w:rsidRPr="00A65520" w:rsidRDefault="00FB5643" w:rsidP="00D148B8">
      <w:pPr>
        <w:jc w:val="left"/>
        <w:rPr>
          <w:sz w:val="24"/>
          <w:szCs w:val="24"/>
        </w:rPr>
      </w:pPr>
    </w:p>
    <w:p w:rsidR="00FB5643" w:rsidRPr="00A65520" w:rsidRDefault="00FB5643" w:rsidP="00D148B8">
      <w:pPr>
        <w:jc w:val="left"/>
        <w:rPr>
          <w:sz w:val="24"/>
          <w:szCs w:val="24"/>
        </w:rPr>
      </w:pPr>
      <w:r w:rsidRPr="00A65520">
        <w:rPr>
          <w:sz w:val="24"/>
          <w:szCs w:val="24"/>
        </w:rPr>
        <w:t>Key Variances – Full Year Projection from M0</w:t>
      </w:r>
      <w:r w:rsidR="00A65520" w:rsidRPr="00A65520">
        <w:rPr>
          <w:sz w:val="24"/>
          <w:szCs w:val="24"/>
        </w:rPr>
        <w:t>4</w:t>
      </w:r>
      <w:r w:rsidRPr="00A65520">
        <w:rPr>
          <w:sz w:val="24"/>
          <w:szCs w:val="24"/>
        </w:rPr>
        <w:t>:</w:t>
      </w:r>
    </w:p>
    <w:p w:rsidR="00FB5643" w:rsidRPr="00A65520" w:rsidRDefault="00FB5643" w:rsidP="00D148B8">
      <w:pPr>
        <w:jc w:val="left"/>
        <w:rPr>
          <w:sz w:val="24"/>
          <w:szCs w:val="24"/>
        </w:rPr>
      </w:pPr>
    </w:p>
    <w:p w:rsidR="00675B05" w:rsidRPr="00A65520" w:rsidRDefault="00FB5643" w:rsidP="00D148B8">
      <w:pPr>
        <w:jc w:val="left"/>
        <w:rPr>
          <w:sz w:val="24"/>
          <w:szCs w:val="24"/>
        </w:rPr>
      </w:pPr>
      <w:r w:rsidRPr="00A65520">
        <w:rPr>
          <w:sz w:val="24"/>
          <w:szCs w:val="24"/>
        </w:rPr>
        <w:t>PSF (assumes nil delivery):</w:t>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t>(£7.2m)</w:t>
      </w:r>
    </w:p>
    <w:p w:rsidR="00FB5643" w:rsidRPr="00A65520" w:rsidRDefault="00FB5643" w:rsidP="00D148B8">
      <w:pPr>
        <w:jc w:val="left"/>
        <w:rPr>
          <w:sz w:val="24"/>
          <w:szCs w:val="24"/>
        </w:rPr>
      </w:pPr>
      <w:r w:rsidRPr="00A65520">
        <w:rPr>
          <w:sz w:val="24"/>
          <w:szCs w:val="24"/>
        </w:rPr>
        <w:t>Income shortfalls (straight line of existing variance from plan):</w:t>
      </w:r>
      <w:r w:rsidRPr="00A65520">
        <w:rPr>
          <w:sz w:val="24"/>
          <w:szCs w:val="24"/>
        </w:rPr>
        <w:tab/>
      </w:r>
      <w:r w:rsidRPr="00A65520">
        <w:rPr>
          <w:sz w:val="24"/>
          <w:szCs w:val="24"/>
        </w:rPr>
        <w:tab/>
      </w:r>
      <w:r w:rsidRPr="00A65520">
        <w:rPr>
          <w:sz w:val="24"/>
          <w:szCs w:val="24"/>
        </w:rPr>
        <w:tab/>
      </w:r>
      <w:r w:rsidRPr="00A65520">
        <w:rPr>
          <w:sz w:val="24"/>
          <w:szCs w:val="24"/>
        </w:rPr>
        <w:tab/>
        <w:t>(£</w:t>
      </w:r>
      <w:r w:rsidR="00A65520" w:rsidRPr="00A65520">
        <w:rPr>
          <w:sz w:val="24"/>
          <w:szCs w:val="24"/>
        </w:rPr>
        <w:t>3</w:t>
      </w:r>
      <w:r w:rsidRPr="00A65520">
        <w:rPr>
          <w:sz w:val="24"/>
          <w:szCs w:val="24"/>
        </w:rPr>
        <w:t>.</w:t>
      </w:r>
      <w:r w:rsidR="00A65520" w:rsidRPr="00A65520">
        <w:rPr>
          <w:sz w:val="24"/>
          <w:szCs w:val="24"/>
        </w:rPr>
        <w:t>2</w:t>
      </w:r>
      <w:r w:rsidRPr="00A65520">
        <w:rPr>
          <w:sz w:val="24"/>
          <w:szCs w:val="24"/>
        </w:rPr>
        <w:t>m)</w:t>
      </w:r>
    </w:p>
    <w:p w:rsidR="00675B05" w:rsidRPr="00A65520" w:rsidRDefault="00FB5643" w:rsidP="00D148B8">
      <w:pPr>
        <w:jc w:val="left"/>
        <w:rPr>
          <w:sz w:val="24"/>
          <w:szCs w:val="24"/>
        </w:rPr>
      </w:pPr>
      <w:r w:rsidRPr="00A65520">
        <w:rPr>
          <w:sz w:val="24"/>
          <w:szCs w:val="24"/>
        </w:rPr>
        <w:t>Expenditure Pressures (straight line of existing variance from plan):</w:t>
      </w:r>
      <w:r w:rsidRPr="00A65520">
        <w:rPr>
          <w:sz w:val="24"/>
          <w:szCs w:val="24"/>
        </w:rPr>
        <w:tab/>
      </w:r>
      <w:r w:rsidRPr="00A65520">
        <w:rPr>
          <w:sz w:val="24"/>
          <w:szCs w:val="24"/>
        </w:rPr>
        <w:tab/>
      </w:r>
      <w:r w:rsidRPr="00A65520">
        <w:rPr>
          <w:sz w:val="24"/>
          <w:szCs w:val="24"/>
        </w:rPr>
        <w:tab/>
      </w:r>
      <w:r w:rsidRPr="00A65520">
        <w:rPr>
          <w:sz w:val="24"/>
          <w:szCs w:val="24"/>
        </w:rPr>
        <w:tab/>
        <w:t>(£</w:t>
      </w:r>
      <w:r w:rsidR="00A65520" w:rsidRPr="00A65520">
        <w:rPr>
          <w:sz w:val="24"/>
          <w:szCs w:val="24"/>
        </w:rPr>
        <w:t>2</w:t>
      </w:r>
      <w:r w:rsidRPr="00A65520">
        <w:rPr>
          <w:sz w:val="24"/>
          <w:szCs w:val="24"/>
        </w:rPr>
        <w:t>.</w:t>
      </w:r>
      <w:r w:rsidR="00A65520" w:rsidRPr="00A65520">
        <w:rPr>
          <w:sz w:val="24"/>
          <w:szCs w:val="24"/>
        </w:rPr>
        <w:t>9</w:t>
      </w:r>
      <w:r w:rsidRPr="00A65520">
        <w:rPr>
          <w:sz w:val="24"/>
          <w:szCs w:val="24"/>
        </w:rPr>
        <w:t>m)</w:t>
      </w:r>
    </w:p>
    <w:p w:rsidR="00A65520" w:rsidRPr="00A65520" w:rsidRDefault="00A65520" w:rsidP="00D148B8">
      <w:pPr>
        <w:jc w:val="left"/>
        <w:rPr>
          <w:sz w:val="24"/>
          <w:szCs w:val="24"/>
        </w:rPr>
      </w:pPr>
      <w:r w:rsidRPr="00A65520">
        <w:rPr>
          <w:sz w:val="24"/>
          <w:szCs w:val="24"/>
        </w:rPr>
        <w:t>Forecast Savings Shortfall</w:t>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r>
      <w:r w:rsidRPr="00A65520">
        <w:rPr>
          <w:sz w:val="24"/>
          <w:szCs w:val="24"/>
        </w:rPr>
        <w:tab/>
        <w:t>(£2.4m)</w:t>
      </w:r>
    </w:p>
    <w:p w:rsidR="00FB5643" w:rsidRPr="00A65520" w:rsidRDefault="00FB5643" w:rsidP="00D148B8">
      <w:pPr>
        <w:jc w:val="left"/>
        <w:rPr>
          <w:sz w:val="24"/>
          <w:szCs w:val="24"/>
        </w:rPr>
      </w:pPr>
    </w:p>
    <w:p w:rsidR="00FB5643" w:rsidRPr="00A65520" w:rsidRDefault="00FB5643" w:rsidP="00D148B8">
      <w:pPr>
        <w:jc w:val="left"/>
        <w:rPr>
          <w:b/>
          <w:sz w:val="24"/>
          <w:szCs w:val="24"/>
        </w:rPr>
      </w:pPr>
      <w:r w:rsidRPr="00A65520">
        <w:rPr>
          <w:b/>
          <w:sz w:val="24"/>
          <w:szCs w:val="24"/>
        </w:rPr>
        <w:t>Calculated Deficit Forecast:</w:t>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r>
      <w:r w:rsidRPr="00A65520">
        <w:rPr>
          <w:b/>
          <w:sz w:val="24"/>
          <w:szCs w:val="24"/>
        </w:rPr>
        <w:tab/>
        <w:t>(£4</w:t>
      </w:r>
      <w:r w:rsidR="00A65520" w:rsidRPr="00A65520">
        <w:rPr>
          <w:b/>
          <w:sz w:val="24"/>
          <w:szCs w:val="24"/>
        </w:rPr>
        <w:t>7</w:t>
      </w:r>
      <w:r w:rsidRPr="00A65520">
        <w:rPr>
          <w:b/>
          <w:sz w:val="24"/>
          <w:szCs w:val="24"/>
        </w:rPr>
        <w:t>.</w:t>
      </w:r>
      <w:r w:rsidR="00A65520" w:rsidRPr="00A65520">
        <w:rPr>
          <w:b/>
          <w:sz w:val="24"/>
          <w:szCs w:val="24"/>
        </w:rPr>
        <w:t>0</w:t>
      </w:r>
      <w:r w:rsidRPr="00A65520">
        <w:rPr>
          <w:b/>
          <w:sz w:val="24"/>
          <w:szCs w:val="24"/>
        </w:rPr>
        <w:t>m)</w:t>
      </w:r>
    </w:p>
    <w:p w:rsidR="00FB5643" w:rsidRPr="00A65520" w:rsidRDefault="00FB5643" w:rsidP="00D148B8">
      <w:pPr>
        <w:jc w:val="left"/>
        <w:rPr>
          <w:sz w:val="24"/>
          <w:szCs w:val="24"/>
        </w:rPr>
      </w:pPr>
    </w:p>
    <w:p w:rsidR="004F450A" w:rsidRPr="00A65520" w:rsidRDefault="00FB5643" w:rsidP="004F450A">
      <w:pPr>
        <w:rPr>
          <w:sz w:val="24"/>
          <w:szCs w:val="24"/>
        </w:rPr>
      </w:pPr>
      <w:r w:rsidRPr="00A65520">
        <w:rPr>
          <w:sz w:val="24"/>
          <w:szCs w:val="24"/>
        </w:rPr>
        <w:t xml:space="preserve">This is very crude approach - but gives some idea of the </w:t>
      </w:r>
      <w:r w:rsidR="009D3090" w:rsidRPr="00A65520">
        <w:rPr>
          <w:sz w:val="24"/>
          <w:szCs w:val="24"/>
        </w:rPr>
        <w:t>makeup</w:t>
      </w:r>
      <w:r w:rsidRPr="00A65520">
        <w:rPr>
          <w:sz w:val="24"/>
          <w:szCs w:val="24"/>
        </w:rPr>
        <w:t xml:space="preserve"> and full year scale of the current position, if maintained through the remainder of the year.</w:t>
      </w:r>
    </w:p>
    <w:p w:rsidR="004F450A" w:rsidRPr="00A65520" w:rsidRDefault="004F450A" w:rsidP="004F450A">
      <w:pPr>
        <w:rPr>
          <w:sz w:val="24"/>
          <w:szCs w:val="24"/>
        </w:rPr>
      </w:pPr>
    </w:p>
    <w:p w:rsidR="00FB5643" w:rsidRPr="00A65520" w:rsidRDefault="004F450A" w:rsidP="004F450A">
      <w:pPr>
        <w:rPr>
          <w:sz w:val="24"/>
          <w:szCs w:val="24"/>
        </w:rPr>
      </w:pPr>
      <w:r w:rsidRPr="00A65520">
        <w:rPr>
          <w:sz w:val="24"/>
          <w:szCs w:val="24"/>
        </w:rPr>
        <w:t xml:space="preserve">Possible variation might include some degree of catch up on income, as capacity and productivity are </w:t>
      </w:r>
      <w:r w:rsidR="00A65520" w:rsidRPr="00A65520">
        <w:rPr>
          <w:sz w:val="24"/>
          <w:szCs w:val="24"/>
        </w:rPr>
        <w:t>improved through current plans.</w:t>
      </w:r>
    </w:p>
    <w:p w:rsidR="004F450A" w:rsidRPr="00CE3140" w:rsidRDefault="004F450A" w:rsidP="004F450A">
      <w:pPr>
        <w:rPr>
          <w:color w:val="FF0000"/>
          <w:sz w:val="24"/>
          <w:szCs w:val="24"/>
        </w:rPr>
      </w:pPr>
    </w:p>
    <w:p w:rsidR="004F450A" w:rsidRPr="00A65520" w:rsidRDefault="004F450A" w:rsidP="004F450A">
      <w:pPr>
        <w:rPr>
          <w:sz w:val="24"/>
          <w:szCs w:val="24"/>
        </w:rPr>
      </w:pPr>
      <w:r w:rsidRPr="00A65520">
        <w:rPr>
          <w:sz w:val="24"/>
          <w:szCs w:val="24"/>
        </w:rPr>
        <w:t xml:space="preserve">Though variation on PSF income would normally be largely discounted by NHSI in assessing Trust variation from plan (the money still being retained centrally), this overall level of variance would be likely to lead to </w:t>
      </w:r>
      <w:r w:rsidR="009D3090" w:rsidRPr="00A65520">
        <w:rPr>
          <w:sz w:val="24"/>
          <w:szCs w:val="24"/>
        </w:rPr>
        <w:t>maintenance</w:t>
      </w:r>
      <w:r w:rsidRPr="00A65520">
        <w:rPr>
          <w:sz w:val="24"/>
          <w:szCs w:val="24"/>
        </w:rPr>
        <w:t xml:space="preserve"> of Financial Special Measures status for the Trust, as it would mark a further deterioration on the previous year.</w:t>
      </w:r>
    </w:p>
    <w:p w:rsidR="004F450A" w:rsidRDefault="004F450A" w:rsidP="004F450A">
      <w:pPr>
        <w:rPr>
          <w:sz w:val="24"/>
          <w:szCs w:val="24"/>
        </w:rPr>
      </w:pPr>
    </w:p>
    <w:p w:rsidR="005C1C61" w:rsidRDefault="005C1C61" w:rsidP="00D148B8">
      <w:pPr>
        <w:jc w:val="left"/>
      </w:pPr>
    </w:p>
    <w:p w:rsidR="003944A4" w:rsidRDefault="003944A4">
      <w:pPr>
        <w:spacing w:after="200" w:line="276" w:lineRule="auto"/>
        <w:jc w:val="left"/>
        <w:rPr>
          <w:b/>
          <w:color w:val="FF0000"/>
        </w:rPr>
      </w:pPr>
      <w:r>
        <w:rPr>
          <w:b/>
          <w:color w:val="FF0000"/>
        </w:rPr>
        <w:br w:type="page"/>
      </w:r>
    </w:p>
    <w:p w:rsidR="004903D2" w:rsidRPr="00F9598D" w:rsidRDefault="004903D2" w:rsidP="004903D2">
      <w:pPr>
        <w:spacing w:line="276" w:lineRule="auto"/>
        <w:jc w:val="left"/>
        <w:rPr>
          <w:b/>
          <w:sz w:val="24"/>
          <w:szCs w:val="24"/>
        </w:rPr>
      </w:pPr>
      <w:r w:rsidRPr="00F9598D">
        <w:rPr>
          <w:b/>
          <w:sz w:val="24"/>
          <w:szCs w:val="24"/>
        </w:rPr>
        <w:lastRenderedPageBreak/>
        <w:t>3.</w:t>
      </w:r>
      <w:r w:rsidRPr="00F9598D">
        <w:rPr>
          <w:b/>
          <w:sz w:val="24"/>
          <w:szCs w:val="24"/>
        </w:rPr>
        <w:tab/>
        <w:t>Activity, Contracting and Income:</w:t>
      </w:r>
    </w:p>
    <w:p w:rsidR="004903D2" w:rsidRPr="00F9598D" w:rsidRDefault="004903D2" w:rsidP="004903D2">
      <w:pPr>
        <w:spacing w:line="276" w:lineRule="auto"/>
        <w:jc w:val="left"/>
        <w:rPr>
          <w:b/>
          <w:sz w:val="24"/>
          <w:szCs w:val="24"/>
        </w:rPr>
      </w:pPr>
    </w:p>
    <w:p w:rsidR="003944A4" w:rsidRPr="00F9598D" w:rsidRDefault="003944A4" w:rsidP="003944A4">
      <w:pPr>
        <w:spacing w:after="200" w:line="276" w:lineRule="auto"/>
        <w:rPr>
          <w:b/>
          <w:sz w:val="24"/>
          <w:szCs w:val="24"/>
        </w:rPr>
      </w:pPr>
      <w:r w:rsidRPr="00F9598D">
        <w:rPr>
          <w:b/>
          <w:sz w:val="24"/>
          <w:szCs w:val="24"/>
        </w:rPr>
        <w:t>Activity Trends</w:t>
      </w:r>
    </w:p>
    <w:p w:rsidR="00DD0DDD" w:rsidRDefault="00F9598D" w:rsidP="00DD4696">
      <w:pPr>
        <w:rPr>
          <w:sz w:val="24"/>
          <w:szCs w:val="24"/>
        </w:rPr>
      </w:pPr>
      <w:r w:rsidRPr="00F9598D">
        <w:rPr>
          <w:sz w:val="24"/>
          <w:szCs w:val="24"/>
        </w:rPr>
        <w:t>The below table represents the year</w:t>
      </w:r>
      <w:r>
        <w:rPr>
          <w:sz w:val="24"/>
          <w:szCs w:val="24"/>
        </w:rPr>
        <w:t xml:space="preserve"> to date performance for the core</w:t>
      </w:r>
      <w:r w:rsidRPr="00F9598D">
        <w:rPr>
          <w:sz w:val="24"/>
          <w:szCs w:val="24"/>
        </w:rPr>
        <w:t xml:space="preserve"> Po</w:t>
      </w:r>
      <w:r>
        <w:rPr>
          <w:sz w:val="24"/>
          <w:szCs w:val="24"/>
        </w:rPr>
        <w:t>in</w:t>
      </w:r>
      <w:r w:rsidRPr="00F9598D">
        <w:rPr>
          <w:sz w:val="24"/>
          <w:szCs w:val="24"/>
        </w:rPr>
        <w:t>ts of Delivery (POD) ag</w:t>
      </w:r>
      <w:r>
        <w:rPr>
          <w:sz w:val="24"/>
          <w:szCs w:val="24"/>
        </w:rPr>
        <w:t>ainst the Trusts activity plan and also gives comparative 17/18 data for reference:</w:t>
      </w:r>
    </w:p>
    <w:p w:rsidR="00DD4696" w:rsidRPr="00F9598D" w:rsidRDefault="00DD4696" w:rsidP="00DD4696">
      <w:pPr>
        <w:rPr>
          <w:sz w:val="24"/>
          <w:szCs w:val="24"/>
        </w:rPr>
      </w:pPr>
    </w:p>
    <w:tbl>
      <w:tblPr>
        <w:tblW w:w="4905" w:type="pct"/>
        <w:tblCellMar>
          <w:left w:w="0" w:type="dxa"/>
          <w:right w:w="0" w:type="dxa"/>
        </w:tblCellMar>
        <w:tblLook w:val="0600" w:firstRow="0" w:lastRow="0" w:firstColumn="0" w:lastColumn="0" w:noHBand="1" w:noVBand="1"/>
      </w:tblPr>
      <w:tblGrid>
        <w:gridCol w:w="3206"/>
        <w:gridCol w:w="1418"/>
        <w:gridCol w:w="1418"/>
        <w:gridCol w:w="1415"/>
        <w:gridCol w:w="1415"/>
        <w:gridCol w:w="1415"/>
      </w:tblGrid>
      <w:tr w:rsidR="009C5D76" w:rsidRPr="002E6961" w:rsidTr="00EF7451">
        <w:trPr>
          <w:trHeight w:val="629"/>
        </w:trPr>
        <w:tc>
          <w:tcPr>
            <w:tcW w:w="1558" w:type="pct"/>
            <w:tcBorders>
              <w:top w:val="single" w:sz="8" w:space="0" w:color="000000"/>
              <w:left w:val="single" w:sz="8" w:space="0" w:color="000000"/>
              <w:bottom w:val="single" w:sz="8" w:space="0" w:color="000000"/>
              <w:right w:val="single" w:sz="4" w:space="0" w:color="000000"/>
            </w:tcBorders>
            <w:shd w:val="clear" w:color="auto" w:fill="FFFFFF"/>
            <w:tcMar>
              <w:top w:w="10" w:type="dxa"/>
              <w:left w:w="10" w:type="dxa"/>
              <w:bottom w:w="0" w:type="dxa"/>
              <w:right w:w="10" w:type="dxa"/>
            </w:tcMar>
            <w:vAlign w:val="center"/>
            <w:hideMark/>
          </w:tcPr>
          <w:p w:rsidR="009C5D76" w:rsidRPr="00665708" w:rsidRDefault="009C5D76" w:rsidP="00067F37">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POD Group</w:t>
            </w:r>
          </w:p>
        </w:tc>
        <w:tc>
          <w:tcPr>
            <w:tcW w:w="689" w:type="pct"/>
            <w:tcBorders>
              <w:top w:val="single" w:sz="8" w:space="0" w:color="000000"/>
              <w:left w:val="single" w:sz="4" w:space="0" w:color="000000"/>
              <w:bottom w:val="single" w:sz="8" w:space="0" w:color="000000"/>
              <w:right w:val="single" w:sz="4" w:space="0" w:color="000000"/>
            </w:tcBorders>
            <w:shd w:val="clear" w:color="auto" w:fill="FFFFFF"/>
            <w:tcMar>
              <w:top w:w="10" w:type="dxa"/>
              <w:left w:w="10" w:type="dxa"/>
              <w:bottom w:w="0" w:type="dxa"/>
              <w:right w:w="10" w:type="dxa"/>
            </w:tcMar>
            <w:vAlign w:val="center"/>
            <w:hideMark/>
          </w:tcPr>
          <w:p w:rsidR="009C5D76" w:rsidRPr="00665708" w:rsidRDefault="009C5D76" w:rsidP="009C5D76">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 xml:space="preserve"> 1819 YTD Planned Activity Numbers </w:t>
            </w:r>
          </w:p>
        </w:tc>
        <w:tc>
          <w:tcPr>
            <w:tcW w:w="689" w:type="pct"/>
            <w:tcBorders>
              <w:top w:val="single" w:sz="8" w:space="0" w:color="000000"/>
              <w:left w:val="single" w:sz="4" w:space="0" w:color="000000"/>
              <w:bottom w:val="single" w:sz="8" w:space="0" w:color="000000"/>
              <w:right w:val="single" w:sz="8" w:space="0" w:color="000000"/>
            </w:tcBorders>
            <w:shd w:val="clear" w:color="auto" w:fill="FFFFFF"/>
            <w:tcMar>
              <w:top w:w="10" w:type="dxa"/>
              <w:left w:w="10" w:type="dxa"/>
              <w:bottom w:w="0" w:type="dxa"/>
              <w:right w:w="10" w:type="dxa"/>
            </w:tcMar>
            <w:vAlign w:val="center"/>
            <w:hideMark/>
          </w:tcPr>
          <w:p w:rsidR="009C5D76" w:rsidRPr="00665708" w:rsidRDefault="009C5D76" w:rsidP="009C5D76">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1819 YTD Actual  Activity Numbers</w:t>
            </w:r>
          </w:p>
        </w:tc>
        <w:tc>
          <w:tcPr>
            <w:tcW w:w="688" w:type="pct"/>
            <w:tcBorders>
              <w:top w:val="single" w:sz="8" w:space="0" w:color="000000"/>
              <w:left w:val="single" w:sz="4" w:space="0" w:color="000000"/>
              <w:bottom w:val="single" w:sz="8" w:space="0" w:color="000000"/>
              <w:right w:val="single" w:sz="4" w:space="0" w:color="000000"/>
            </w:tcBorders>
            <w:shd w:val="clear" w:color="auto" w:fill="FFFFFF"/>
            <w:vAlign w:val="center"/>
          </w:tcPr>
          <w:p w:rsidR="009C5D76" w:rsidRPr="00665708" w:rsidRDefault="009C5D76" w:rsidP="009C5D76">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 xml:space="preserve"> 1819 Activity Variance</w:t>
            </w:r>
          </w:p>
        </w:tc>
        <w:tc>
          <w:tcPr>
            <w:tcW w:w="688" w:type="pct"/>
            <w:tcBorders>
              <w:top w:val="single" w:sz="8" w:space="0" w:color="000000"/>
              <w:left w:val="single" w:sz="4" w:space="0" w:color="000000"/>
              <w:bottom w:val="single" w:sz="8" w:space="0" w:color="000000"/>
              <w:right w:val="single" w:sz="8" w:space="0" w:color="000000"/>
            </w:tcBorders>
            <w:shd w:val="clear" w:color="auto" w:fill="FFFFFF"/>
            <w:vAlign w:val="center"/>
          </w:tcPr>
          <w:p w:rsidR="009C5D76" w:rsidRPr="00665708" w:rsidRDefault="009C5D76" w:rsidP="009C5D76">
            <w:pPr>
              <w:jc w:val="center"/>
              <w:textAlignment w:val="center"/>
              <w:rPr>
                <w:rFonts w:eastAsia="Times New Roman" w:cs="Arial"/>
                <w:b/>
                <w:bCs/>
                <w:kern w:val="24"/>
                <w:sz w:val="24"/>
                <w:szCs w:val="24"/>
                <w:lang w:eastAsia="en-GB"/>
              </w:rPr>
            </w:pPr>
            <w:r w:rsidRPr="00665708">
              <w:rPr>
                <w:rFonts w:eastAsia="Times New Roman" w:cs="Arial"/>
                <w:b/>
                <w:bCs/>
                <w:kern w:val="24"/>
                <w:sz w:val="24"/>
                <w:szCs w:val="24"/>
                <w:lang w:eastAsia="en-GB"/>
              </w:rPr>
              <w:t>1718 YTD Outturn Activity Numbers</w:t>
            </w:r>
          </w:p>
        </w:tc>
        <w:tc>
          <w:tcPr>
            <w:tcW w:w="688" w:type="pct"/>
            <w:tcBorders>
              <w:top w:val="single" w:sz="8" w:space="0" w:color="000000"/>
              <w:left w:val="single" w:sz="4" w:space="0" w:color="000000"/>
              <w:bottom w:val="single" w:sz="8" w:space="0" w:color="000000"/>
              <w:right w:val="single" w:sz="8" w:space="0" w:color="000000"/>
            </w:tcBorders>
            <w:shd w:val="clear" w:color="auto" w:fill="FFFFFF"/>
            <w:vAlign w:val="center"/>
          </w:tcPr>
          <w:p w:rsidR="009C5D76" w:rsidRPr="00665708" w:rsidRDefault="009C5D76" w:rsidP="009C5D76">
            <w:pPr>
              <w:jc w:val="center"/>
              <w:textAlignment w:val="center"/>
              <w:rPr>
                <w:rFonts w:eastAsia="Times New Roman" w:cs="Arial"/>
                <w:b/>
                <w:bCs/>
                <w:kern w:val="24"/>
                <w:sz w:val="24"/>
                <w:szCs w:val="24"/>
                <w:lang w:eastAsia="en-GB"/>
              </w:rPr>
            </w:pPr>
            <w:r w:rsidRPr="00665708">
              <w:rPr>
                <w:rFonts w:eastAsia="Times New Roman" w:cs="Arial"/>
                <w:b/>
                <w:bCs/>
                <w:kern w:val="24"/>
                <w:sz w:val="24"/>
                <w:szCs w:val="24"/>
                <w:lang w:eastAsia="en-GB"/>
              </w:rPr>
              <w:t>Year on Year Activity Variance</w:t>
            </w:r>
          </w:p>
        </w:tc>
      </w:tr>
      <w:tr w:rsidR="00EF7451" w:rsidRPr="002E6961" w:rsidTr="00EF7451">
        <w:trPr>
          <w:trHeight w:val="452"/>
        </w:trPr>
        <w:tc>
          <w:tcPr>
            <w:tcW w:w="1558" w:type="pct"/>
            <w:tcBorders>
              <w:top w:val="single" w:sz="8" w:space="0" w:color="000000"/>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NON ELECTIVE</w:t>
            </w:r>
          </w:p>
        </w:tc>
        <w:tc>
          <w:tcPr>
            <w:tcW w:w="689" w:type="pct"/>
            <w:tcBorders>
              <w:top w:val="single" w:sz="8" w:space="0" w:color="000000"/>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14,270 </w:t>
            </w:r>
          </w:p>
        </w:tc>
        <w:tc>
          <w:tcPr>
            <w:tcW w:w="689" w:type="pct"/>
            <w:tcBorders>
              <w:top w:val="single" w:sz="8" w:space="0" w:color="000000"/>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14,348 </w:t>
            </w:r>
          </w:p>
        </w:tc>
        <w:tc>
          <w:tcPr>
            <w:tcW w:w="688" w:type="pct"/>
            <w:tcBorders>
              <w:top w:val="single" w:sz="8" w:space="0" w:color="000000"/>
              <w:left w:val="single" w:sz="4" w:space="0" w:color="000000"/>
              <w:bottom w:val="nil"/>
              <w:right w:val="single" w:sz="4" w:space="0" w:color="000000"/>
            </w:tcBorders>
            <w:shd w:val="clear" w:color="auto" w:fill="FFFFFF"/>
            <w:vAlign w:val="center"/>
          </w:tcPr>
          <w:p w:rsidR="00EF7451" w:rsidRPr="00EF7451" w:rsidRDefault="00EF7451" w:rsidP="00EF7451">
            <w:pPr>
              <w:jc w:val="right"/>
              <w:rPr>
                <w:rFonts w:cs="Arial"/>
                <w:color w:val="000000"/>
              </w:rPr>
            </w:pPr>
            <w:r>
              <w:rPr>
                <w:rFonts w:cs="Arial"/>
                <w:color w:val="000000"/>
              </w:rPr>
              <w:t xml:space="preserve">78                       </w:t>
            </w:r>
          </w:p>
        </w:tc>
        <w:tc>
          <w:tcPr>
            <w:tcW w:w="688" w:type="pct"/>
            <w:tcBorders>
              <w:top w:val="single" w:sz="8" w:space="0" w:color="000000"/>
              <w:left w:val="single" w:sz="4" w:space="0" w:color="000000"/>
              <w:bottom w:val="nil"/>
              <w:right w:val="single" w:sz="8" w:space="0" w:color="000000"/>
            </w:tcBorders>
            <w:shd w:val="clear" w:color="auto" w:fill="FFFFFF"/>
            <w:vAlign w:val="center"/>
          </w:tcPr>
          <w:p w:rsidR="00EF7451" w:rsidRPr="006C686B" w:rsidRDefault="00EF7451" w:rsidP="00EF7451">
            <w:pPr>
              <w:jc w:val="right"/>
            </w:pPr>
            <w:r w:rsidRPr="006C686B">
              <w:t xml:space="preserve"> 14,740 </w:t>
            </w:r>
          </w:p>
        </w:tc>
        <w:tc>
          <w:tcPr>
            <w:tcW w:w="688" w:type="pct"/>
            <w:tcBorders>
              <w:top w:val="single" w:sz="8" w:space="0" w:color="000000"/>
              <w:left w:val="single" w:sz="4" w:space="0" w:color="000000"/>
              <w:bottom w:val="nil"/>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Pr>
                <w:rFonts w:eastAsia="Times New Roman" w:cs="Arial"/>
                <w:color w:val="FF0000"/>
                <w:kern w:val="24"/>
                <w:lang w:eastAsia="en-GB"/>
              </w:rPr>
              <w:t>(392)</w:t>
            </w:r>
          </w:p>
        </w:tc>
      </w:tr>
      <w:tr w:rsidR="00EF7451" w:rsidRPr="002E6961" w:rsidTr="00EF7451">
        <w:trPr>
          <w:trHeight w:val="452"/>
        </w:trPr>
        <w:tc>
          <w:tcPr>
            <w:tcW w:w="1558"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ELECTIVE</w:t>
            </w:r>
          </w:p>
        </w:tc>
        <w:tc>
          <w:tcPr>
            <w:tcW w:w="689"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2,520 </w:t>
            </w:r>
          </w:p>
        </w:tc>
        <w:tc>
          <w:tcPr>
            <w:tcW w:w="689"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2,257 </w:t>
            </w:r>
          </w:p>
        </w:tc>
        <w:tc>
          <w:tcPr>
            <w:tcW w:w="688" w:type="pct"/>
            <w:tcBorders>
              <w:top w:val="nil"/>
              <w:left w:val="single" w:sz="4" w:space="0" w:color="000000"/>
              <w:bottom w:val="nil"/>
              <w:right w:val="single" w:sz="4" w:space="0" w:color="000000"/>
            </w:tcBorders>
            <w:shd w:val="clear" w:color="auto" w:fill="FFFFFF"/>
            <w:vAlign w:val="center"/>
          </w:tcPr>
          <w:p w:rsidR="00EF7451" w:rsidRPr="00EF7451" w:rsidRDefault="00EF7451" w:rsidP="00EF7451">
            <w:pPr>
              <w:jc w:val="right"/>
              <w:rPr>
                <w:rFonts w:cs="Arial"/>
                <w:color w:val="FF0000"/>
              </w:rPr>
            </w:pPr>
            <w:r w:rsidRPr="00EF7451">
              <w:rPr>
                <w:rFonts w:cs="Arial"/>
                <w:color w:val="FF0000"/>
              </w:rPr>
              <w:t>(263)</w:t>
            </w:r>
          </w:p>
        </w:tc>
        <w:tc>
          <w:tcPr>
            <w:tcW w:w="688" w:type="pct"/>
            <w:tcBorders>
              <w:top w:val="nil"/>
              <w:left w:val="single" w:sz="4" w:space="0" w:color="000000"/>
              <w:bottom w:val="nil"/>
              <w:right w:val="single" w:sz="8" w:space="0" w:color="000000"/>
            </w:tcBorders>
            <w:shd w:val="clear" w:color="auto" w:fill="FFFFFF"/>
            <w:vAlign w:val="center"/>
          </w:tcPr>
          <w:p w:rsidR="00EF7451" w:rsidRPr="006C686B" w:rsidRDefault="00EF7451" w:rsidP="00EF7451">
            <w:pPr>
              <w:jc w:val="right"/>
            </w:pPr>
            <w:r w:rsidRPr="006C686B">
              <w:t xml:space="preserve"> 2,265 </w:t>
            </w:r>
          </w:p>
        </w:tc>
        <w:tc>
          <w:tcPr>
            <w:tcW w:w="688" w:type="pct"/>
            <w:tcBorders>
              <w:top w:val="nil"/>
              <w:left w:val="single" w:sz="4" w:space="0" w:color="000000"/>
              <w:bottom w:val="nil"/>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Pr>
                <w:rFonts w:eastAsia="Times New Roman" w:cs="Arial"/>
                <w:color w:val="FF0000"/>
                <w:kern w:val="24"/>
                <w:lang w:eastAsia="en-GB"/>
              </w:rPr>
              <w:t>(8)</w:t>
            </w:r>
          </w:p>
        </w:tc>
      </w:tr>
      <w:tr w:rsidR="00EF7451" w:rsidRPr="002E6961" w:rsidTr="00EF7451">
        <w:trPr>
          <w:trHeight w:val="368"/>
        </w:trPr>
        <w:tc>
          <w:tcPr>
            <w:tcW w:w="1558"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DAYCASE</w:t>
            </w:r>
          </w:p>
        </w:tc>
        <w:tc>
          <w:tcPr>
            <w:tcW w:w="689"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18,068 </w:t>
            </w:r>
          </w:p>
        </w:tc>
        <w:tc>
          <w:tcPr>
            <w:tcW w:w="689"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17,230 </w:t>
            </w:r>
          </w:p>
        </w:tc>
        <w:tc>
          <w:tcPr>
            <w:tcW w:w="688" w:type="pct"/>
            <w:tcBorders>
              <w:top w:val="nil"/>
              <w:left w:val="single" w:sz="4" w:space="0" w:color="000000"/>
              <w:bottom w:val="nil"/>
              <w:right w:val="single" w:sz="4" w:space="0" w:color="000000"/>
            </w:tcBorders>
            <w:shd w:val="clear" w:color="auto" w:fill="FFFFFF"/>
            <w:vAlign w:val="center"/>
          </w:tcPr>
          <w:p w:rsidR="00EF7451" w:rsidRPr="00EF7451" w:rsidRDefault="00EF7451" w:rsidP="00EF7451">
            <w:pPr>
              <w:jc w:val="right"/>
              <w:rPr>
                <w:rFonts w:cs="Arial"/>
                <w:color w:val="FF0000"/>
              </w:rPr>
            </w:pPr>
            <w:r w:rsidRPr="00EF7451">
              <w:rPr>
                <w:rFonts w:cs="Arial"/>
                <w:color w:val="FF0000"/>
              </w:rPr>
              <w:t>(838)</w:t>
            </w:r>
          </w:p>
        </w:tc>
        <w:tc>
          <w:tcPr>
            <w:tcW w:w="688" w:type="pct"/>
            <w:tcBorders>
              <w:top w:val="nil"/>
              <w:left w:val="single" w:sz="4" w:space="0" w:color="000000"/>
              <w:bottom w:val="nil"/>
              <w:right w:val="single" w:sz="8" w:space="0" w:color="000000"/>
            </w:tcBorders>
            <w:shd w:val="clear" w:color="auto" w:fill="FFFFFF"/>
            <w:vAlign w:val="center"/>
          </w:tcPr>
          <w:p w:rsidR="00EF7451" w:rsidRPr="006C686B" w:rsidRDefault="00EF7451" w:rsidP="00EF7451">
            <w:pPr>
              <w:jc w:val="right"/>
            </w:pPr>
            <w:r w:rsidRPr="006C686B">
              <w:t xml:space="preserve"> 18,170 </w:t>
            </w:r>
          </w:p>
        </w:tc>
        <w:tc>
          <w:tcPr>
            <w:tcW w:w="688" w:type="pct"/>
            <w:tcBorders>
              <w:top w:val="nil"/>
              <w:left w:val="single" w:sz="4" w:space="0" w:color="000000"/>
              <w:bottom w:val="nil"/>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Pr>
                <w:rFonts w:eastAsia="Times New Roman" w:cs="Arial"/>
                <w:color w:val="FF0000"/>
                <w:kern w:val="24"/>
                <w:lang w:eastAsia="en-GB"/>
              </w:rPr>
              <w:t>(940)</w:t>
            </w:r>
          </w:p>
        </w:tc>
      </w:tr>
      <w:tr w:rsidR="00EF7451" w:rsidRPr="002E6961" w:rsidTr="00EF7451">
        <w:trPr>
          <w:trHeight w:val="452"/>
        </w:trPr>
        <w:tc>
          <w:tcPr>
            <w:tcW w:w="1558"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OUTPATIENT NEWS</w:t>
            </w:r>
          </w:p>
        </w:tc>
        <w:tc>
          <w:tcPr>
            <w:tcW w:w="689"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32,251 </w:t>
            </w:r>
          </w:p>
        </w:tc>
        <w:tc>
          <w:tcPr>
            <w:tcW w:w="689"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30,906 </w:t>
            </w:r>
          </w:p>
        </w:tc>
        <w:tc>
          <w:tcPr>
            <w:tcW w:w="688" w:type="pct"/>
            <w:tcBorders>
              <w:top w:val="nil"/>
              <w:left w:val="single" w:sz="4" w:space="0" w:color="000000"/>
              <w:bottom w:val="nil"/>
              <w:right w:val="single" w:sz="4" w:space="0" w:color="000000"/>
            </w:tcBorders>
            <w:shd w:val="clear" w:color="auto" w:fill="FFFFFF"/>
            <w:vAlign w:val="center"/>
          </w:tcPr>
          <w:p w:rsidR="00EF7451" w:rsidRPr="00EF7451" w:rsidRDefault="00EF7451" w:rsidP="00EF7451">
            <w:pPr>
              <w:jc w:val="right"/>
              <w:rPr>
                <w:rFonts w:cs="Arial"/>
                <w:color w:val="FF0000"/>
              </w:rPr>
            </w:pPr>
            <w:r w:rsidRPr="00EF7451">
              <w:rPr>
                <w:rFonts w:cs="Arial"/>
                <w:color w:val="FF0000"/>
              </w:rPr>
              <w:t>(1,345)</w:t>
            </w:r>
          </w:p>
        </w:tc>
        <w:tc>
          <w:tcPr>
            <w:tcW w:w="688" w:type="pct"/>
            <w:tcBorders>
              <w:top w:val="nil"/>
              <w:left w:val="single" w:sz="4" w:space="0" w:color="000000"/>
              <w:bottom w:val="nil"/>
              <w:right w:val="single" w:sz="8" w:space="0" w:color="000000"/>
            </w:tcBorders>
            <w:shd w:val="clear" w:color="auto" w:fill="FFFFFF"/>
            <w:vAlign w:val="center"/>
          </w:tcPr>
          <w:p w:rsidR="00EF7451" w:rsidRPr="006C686B" w:rsidRDefault="00EF7451" w:rsidP="00EF7451">
            <w:pPr>
              <w:jc w:val="right"/>
            </w:pPr>
            <w:r w:rsidRPr="006C686B">
              <w:t xml:space="preserve"> 32,347 </w:t>
            </w:r>
          </w:p>
        </w:tc>
        <w:tc>
          <w:tcPr>
            <w:tcW w:w="688" w:type="pct"/>
            <w:tcBorders>
              <w:top w:val="nil"/>
              <w:left w:val="single" w:sz="4" w:space="0" w:color="000000"/>
              <w:bottom w:val="nil"/>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Pr>
                <w:rFonts w:eastAsia="Times New Roman" w:cs="Arial"/>
                <w:color w:val="FF0000"/>
                <w:kern w:val="24"/>
                <w:lang w:eastAsia="en-GB"/>
              </w:rPr>
              <w:t>(1,441)</w:t>
            </w:r>
          </w:p>
        </w:tc>
      </w:tr>
      <w:tr w:rsidR="00EF7451" w:rsidRPr="002E6961" w:rsidTr="00EF7451">
        <w:trPr>
          <w:trHeight w:val="452"/>
        </w:trPr>
        <w:tc>
          <w:tcPr>
            <w:tcW w:w="1558"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OUTPATIENT REVIEWS</w:t>
            </w:r>
          </w:p>
        </w:tc>
        <w:tc>
          <w:tcPr>
            <w:tcW w:w="689"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69,065 </w:t>
            </w:r>
          </w:p>
        </w:tc>
        <w:tc>
          <w:tcPr>
            <w:tcW w:w="689"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62,347 </w:t>
            </w:r>
          </w:p>
        </w:tc>
        <w:tc>
          <w:tcPr>
            <w:tcW w:w="688" w:type="pct"/>
            <w:tcBorders>
              <w:top w:val="nil"/>
              <w:left w:val="single" w:sz="4" w:space="0" w:color="000000"/>
              <w:bottom w:val="nil"/>
              <w:right w:val="single" w:sz="4" w:space="0" w:color="000000"/>
            </w:tcBorders>
            <w:shd w:val="clear" w:color="auto" w:fill="FFFFFF"/>
            <w:vAlign w:val="center"/>
          </w:tcPr>
          <w:p w:rsidR="00EF7451" w:rsidRPr="00EF7451" w:rsidRDefault="00EF7451" w:rsidP="00EF7451">
            <w:pPr>
              <w:jc w:val="right"/>
              <w:rPr>
                <w:rFonts w:cs="Arial"/>
                <w:color w:val="FF0000"/>
              </w:rPr>
            </w:pPr>
            <w:r w:rsidRPr="00EF7451">
              <w:rPr>
                <w:rFonts w:cs="Arial"/>
                <w:color w:val="FF0000"/>
              </w:rPr>
              <w:t>(6,718)</w:t>
            </w:r>
          </w:p>
        </w:tc>
        <w:tc>
          <w:tcPr>
            <w:tcW w:w="688" w:type="pct"/>
            <w:tcBorders>
              <w:top w:val="nil"/>
              <w:left w:val="single" w:sz="4" w:space="0" w:color="000000"/>
              <w:bottom w:val="nil"/>
              <w:right w:val="single" w:sz="8" w:space="0" w:color="000000"/>
            </w:tcBorders>
            <w:shd w:val="clear" w:color="auto" w:fill="FFFFFF"/>
            <w:vAlign w:val="center"/>
          </w:tcPr>
          <w:p w:rsidR="00EF7451" w:rsidRPr="006C686B" w:rsidRDefault="00EF7451" w:rsidP="00EF7451">
            <w:pPr>
              <w:jc w:val="right"/>
            </w:pPr>
            <w:r w:rsidRPr="006C686B">
              <w:t xml:space="preserve"> 67,144 </w:t>
            </w:r>
          </w:p>
        </w:tc>
        <w:tc>
          <w:tcPr>
            <w:tcW w:w="688" w:type="pct"/>
            <w:tcBorders>
              <w:top w:val="nil"/>
              <w:left w:val="single" w:sz="4" w:space="0" w:color="000000"/>
              <w:bottom w:val="nil"/>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Pr>
                <w:rFonts w:eastAsia="Times New Roman" w:cs="Arial"/>
                <w:color w:val="FF0000"/>
                <w:kern w:val="24"/>
                <w:lang w:eastAsia="en-GB"/>
              </w:rPr>
              <w:t>(4,797)</w:t>
            </w:r>
          </w:p>
        </w:tc>
      </w:tr>
      <w:tr w:rsidR="00EF7451" w:rsidRPr="002E6961" w:rsidTr="00665708">
        <w:trPr>
          <w:trHeight w:val="452"/>
        </w:trPr>
        <w:tc>
          <w:tcPr>
            <w:tcW w:w="1558" w:type="pct"/>
            <w:tcBorders>
              <w:top w:val="nil"/>
              <w:left w:val="single" w:sz="8" w:space="0" w:color="000000"/>
              <w:right w:val="single" w:sz="4" w:space="0" w:color="000000"/>
            </w:tcBorders>
            <w:shd w:val="clear" w:color="auto" w:fill="FFFFFF"/>
            <w:tcMar>
              <w:top w:w="10" w:type="dxa"/>
              <w:left w:w="10" w:type="dxa"/>
              <w:bottom w:w="0" w:type="dxa"/>
              <w:right w:w="10" w:type="dxa"/>
            </w:tcMar>
            <w:vAlign w:val="center"/>
            <w:hideMark/>
          </w:tcPr>
          <w:p w:rsidR="00EF7451" w:rsidRPr="00665708" w:rsidRDefault="00EF7451" w:rsidP="00EF7451">
            <w:pPr>
              <w:jc w:val="left"/>
              <w:textAlignment w:val="bottom"/>
              <w:rPr>
                <w:rFonts w:eastAsia="Times New Roman" w:cs="Arial"/>
                <w:lang w:eastAsia="en-GB"/>
              </w:rPr>
            </w:pPr>
            <w:r w:rsidRPr="00665708">
              <w:rPr>
                <w:rFonts w:eastAsia="Times New Roman" w:cs="Arial"/>
                <w:kern w:val="24"/>
                <w:lang w:eastAsia="en-GB"/>
              </w:rPr>
              <w:t>OUTPATIENT PROCEDURES</w:t>
            </w:r>
          </w:p>
        </w:tc>
        <w:tc>
          <w:tcPr>
            <w:tcW w:w="689" w:type="pct"/>
            <w:tcBorders>
              <w:top w:val="nil"/>
              <w:left w:val="single" w:sz="4" w:space="0" w:color="000000"/>
              <w:right w:val="single" w:sz="4"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24,342 </w:t>
            </w:r>
          </w:p>
        </w:tc>
        <w:tc>
          <w:tcPr>
            <w:tcW w:w="689" w:type="pct"/>
            <w:tcBorders>
              <w:top w:val="nil"/>
              <w:left w:val="single" w:sz="4" w:space="0" w:color="000000"/>
              <w:right w:val="single" w:sz="8" w:space="0" w:color="000000"/>
            </w:tcBorders>
            <w:shd w:val="clear" w:color="auto" w:fill="FFFFFF"/>
            <w:tcMar>
              <w:top w:w="10" w:type="dxa"/>
              <w:left w:w="10" w:type="dxa"/>
              <w:bottom w:w="0" w:type="dxa"/>
              <w:right w:w="10" w:type="dxa"/>
            </w:tcMar>
            <w:vAlign w:val="center"/>
          </w:tcPr>
          <w:p w:rsidR="00EF7451" w:rsidRPr="00EF7451" w:rsidRDefault="00EF7451" w:rsidP="00EF7451">
            <w:pPr>
              <w:jc w:val="right"/>
              <w:rPr>
                <w:rFonts w:cs="Arial"/>
              </w:rPr>
            </w:pPr>
            <w:r w:rsidRPr="00EF7451">
              <w:rPr>
                <w:rFonts w:cs="Arial"/>
              </w:rPr>
              <w:t xml:space="preserve"> 26,573 </w:t>
            </w:r>
          </w:p>
        </w:tc>
        <w:tc>
          <w:tcPr>
            <w:tcW w:w="688" w:type="pct"/>
            <w:tcBorders>
              <w:top w:val="nil"/>
              <w:left w:val="single" w:sz="4" w:space="0" w:color="000000"/>
              <w:right w:val="single" w:sz="4" w:space="0" w:color="000000"/>
            </w:tcBorders>
            <w:shd w:val="clear" w:color="auto" w:fill="FFFFFF"/>
            <w:vAlign w:val="center"/>
          </w:tcPr>
          <w:p w:rsidR="00EF7451" w:rsidRPr="00EF7451" w:rsidRDefault="00EF7451" w:rsidP="00EF7451">
            <w:pPr>
              <w:jc w:val="right"/>
              <w:rPr>
                <w:rFonts w:cs="Arial"/>
                <w:color w:val="FF0000"/>
              </w:rPr>
            </w:pPr>
            <w:r w:rsidRPr="00EF7451">
              <w:rPr>
                <w:rFonts w:cs="Arial"/>
                <w:color w:val="FF0000"/>
              </w:rPr>
              <w:t>(2,231)</w:t>
            </w:r>
          </w:p>
        </w:tc>
        <w:tc>
          <w:tcPr>
            <w:tcW w:w="688" w:type="pct"/>
            <w:tcBorders>
              <w:top w:val="nil"/>
              <w:left w:val="single" w:sz="4" w:space="0" w:color="000000"/>
              <w:right w:val="single" w:sz="8" w:space="0" w:color="000000"/>
            </w:tcBorders>
            <w:shd w:val="clear" w:color="auto" w:fill="FFFFFF"/>
            <w:vAlign w:val="center"/>
          </w:tcPr>
          <w:p w:rsidR="00EF7451" w:rsidRDefault="00EF7451" w:rsidP="00EF7451">
            <w:pPr>
              <w:jc w:val="right"/>
            </w:pPr>
            <w:r w:rsidRPr="006C686B">
              <w:t xml:space="preserve"> 19,846 </w:t>
            </w:r>
          </w:p>
        </w:tc>
        <w:tc>
          <w:tcPr>
            <w:tcW w:w="688" w:type="pct"/>
            <w:tcBorders>
              <w:top w:val="nil"/>
              <w:left w:val="single" w:sz="4" w:space="0" w:color="000000"/>
              <w:right w:val="single" w:sz="8" w:space="0" w:color="000000"/>
            </w:tcBorders>
            <w:shd w:val="clear" w:color="auto" w:fill="FFFFFF"/>
            <w:vAlign w:val="center"/>
          </w:tcPr>
          <w:p w:rsidR="00EF7451" w:rsidRPr="00EF7451" w:rsidRDefault="00EF7451" w:rsidP="00EF7451">
            <w:pPr>
              <w:jc w:val="right"/>
              <w:textAlignment w:val="bottom"/>
              <w:rPr>
                <w:rFonts w:eastAsia="Times New Roman" w:cs="Arial"/>
                <w:color w:val="FF0000"/>
                <w:kern w:val="24"/>
                <w:lang w:eastAsia="en-GB"/>
              </w:rPr>
            </w:pPr>
            <w:r w:rsidRPr="00EF7451">
              <w:rPr>
                <w:rFonts w:eastAsia="Times New Roman" w:cs="Arial"/>
                <w:kern w:val="24"/>
                <w:lang w:eastAsia="en-GB"/>
              </w:rPr>
              <w:t>6,727</w:t>
            </w:r>
          </w:p>
        </w:tc>
      </w:tr>
      <w:tr w:rsidR="009C5D76" w:rsidRPr="002E6961" w:rsidTr="00F9598D">
        <w:trPr>
          <w:trHeight w:val="452"/>
        </w:trPr>
        <w:tc>
          <w:tcPr>
            <w:tcW w:w="1558"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hideMark/>
          </w:tcPr>
          <w:p w:rsidR="009C5D76" w:rsidRPr="00665708" w:rsidRDefault="009C5D76" w:rsidP="00EF7451">
            <w:pPr>
              <w:jc w:val="left"/>
              <w:textAlignment w:val="bottom"/>
              <w:rPr>
                <w:rFonts w:eastAsia="Times New Roman" w:cs="Arial"/>
                <w:lang w:eastAsia="en-GB"/>
              </w:rPr>
            </w:pPr>
            <w:r w:rsidRPr="00665708">
              <w:rPr>
                <w:rFonts w:eastAsia="Times New Roman" w:cs="Arial"/>
                <w:kern w:val="24"/>
                <w:lang w:eastAsia="en-GB"/>
              </w:rPr>
              <w:t>A&amp;E</w:t>
            </w:r>
          </w:p>
        </w:tc>
        <w:tc>
          <w:tcPr>
            <w:tcW w:w="689"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9C5D76" w:rsidRPr="00EF7451" w:rsidRDefault="00EF7451" w:rsidP="00EF7451">
            <w:pPr>
              <w:jc w:val="right"/>
              <w:textAlignment w:val="bottom"/>
              <w:rPr>
                <w:rFonts w:eastAsia="Times New Roman" w:cs="Arial"/>
                <w:lang w:eastAsia="en-GB"/>
              </w:rPr>
            </w:pPr>
            <w:r w:rsidRPr="00EF7451">
              <w:rPr>
                <w:rFonts w:eastAsia="Times New Roman" w:cs="Arial"/>
                <w:lang w:eastAsia="en-GB"/>
              </w:rPr>
              <w:t>46,079</w:t>
            </w:r>
          </w:p>
        </w:tc>
        <w:tc>
          <w:tcPr>
            <w:tcW w:w="689"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9C5D76" w:rsidRPr="00EF7451" w:rsidRDefault="00EF7451" w:rsidP="00EF7451">
            <w:pPr>
              <w:jc w:val="right"/>
              <w:textAlignment w:val="bottom"/>
              <w:rPr>
                <w:rFonts w:eastAsia="Times New Roman" w:cs="Arial"/>
                <w:lang w:eastAsia="en-GB"/>
              </w:rPr>
            </w:pPr>
            <w:r w:rsidRPr="00EF7451">
              <w:rPr>
                <w:rFonts w:eastAsia="Times New Roman" w:cs="Arial"/>
                <w:lang w:eastAsia="en-GB"/>
              </w:rPr>
              <w:t>48,222</w:t>
            </w:r>
          </w:p>
        </w:tc>
        <w:tc>
          <w:tcPr>
            <w:tcW w:w="688" w:type="pct"/>
            <w:tcBorders>
              <w:top w:val="nil"/>
              <w:left w:val="single" w:sz="4" w:space="0" w:color="000000"/>
              <w:bottom w:val="nil"/>
              <w:right w:val="single" w:sz="4" w:space="0" w:color="000000"/>
            </w:tcBorders>
            <w:shd w:val="clear" w:color="auto" w:fill="FFFFFF"/>
            <w:vAlign w:val="center"/>
          </w:tcPr>
          <w:p w:rsidR="009C5D76" w:rsidRPr="00665708" w:rsidRDefault="00665708" w:rsidP="00EF7451">
            <w:pPr>
              <w:jc w:val="right"/>
              <w:textAlignment w:val="bottom"/>
              <w:rPr>
                <w:rFonts w:eastAsia="Times New Roman" w:cs="Arial"/>
                <w:lang w:eastAsia="en-GB"/>
              </w:rPr>
            </w:pPr>
            <w:r w:rsidRPr="00665708">
              <w:rPr>
                <w:rFonts w:eastAsia="Times New Roman" w:cs="Arial"/>
                <w:lang w:eastAsia="en-GB"/>
              </w:rPr>
              <w:t>2,143</w:t>
            </w:r>
          </w:p>
        </w:tc>
        <w:tc>
          <w:tcPr>
            <w:tcW w:w="688" w:type="pct"/>
            <w:tcBorders>
              <w:top w:val="nil"/>
              <w:left w:val="single" w:sz="4" w:space="0" w:color="000000"/>
              <w:bottom w:val="nil"/>
              <w:right w:val="single" w:sz="8" w:space="0" w:color="000000"/>
            </w:tcBorders>
            <w:shd w:val="clear" w:color="auto" w:fill="FFFFFF"/>
            <w:vAlign w:val="center"/>
          </w:tcPr>
          <w:p w:rsidR="009C5D76" w:rsidRPr="00665708" w:rsidRDefault="00EF7451" w:rsidP="00EF7451">
            <w:pPr>
              <w:jc w:val="right"/>
              <w:textAlignment w:val="bottom"/>
              <w:rPr>
                <w:rFonts w:eastAsia="Times New Roman" w:cs="Arial"/>
                <w:kern w:val="24"/>
                <w:lang w:eastAsia="en-GB"/>
              </w:rPr>
            </w:pPr>
            <w:r w:rsidRPr="00665708">
              <w:rPr>
                <w:rFonts w:eastAsia="Times New Roman" w:cs="Arial"/>
                <w:kern w:val="24"/>
                <w:lang w:eastAsia="en-GB"/>
              </w:rPr>
              <w:t>46,269</w:t>
            </w:r>
          </w:p>
        </w:tc>
        <w:tc>
          <w:tcPr>
            <w:tcW w:w="688" w:type="pct"/>
            <w:tcBorders>
              <w:top w:val="nil"/>
              <w:left w:val="single" w:sz="4" w:space="0" w:color="000000"/>
              <w:bottom w:val="nil"/>
              <w:right w:val="single" w:sz="8" w:space="0" w:color="000000"/>
            </w:tcBorders>
            <w:shd w:val="clear" w:color="auto" w:fill="FFFFFF"/>
            <w:vAlign w:val="center"/>
          </w:tcPr>
          <w:p w:rsidR="009C5D76" w:rsidRPr="00665708" w:rsidRDefault="00665708" w:rsidP="00EF7451">
            <w:pPr>
              <w:jc w:val="right"/>
              <w:textAlignment w:val="bottom"/>
              <w:rPr>
                <w:rFonts w:eastAsia="Times New Roman" w:cs="Arial"/>
                <w:kern w:val="24"/>
                <w:lang w:eastAsia="en-GB"/>
              </w:rPr>
            </w:pPr>
            <w:r w:rsidRPr="00665708">
              <w:rPr>
                <w:rFonts w:eastAsia="Times New Roman" w:cs="Arial"/>
                <w:kern w:val="24"/>
                <w:lang w:eastAsia="en-GB"/>
              </w:rPr>
              <w:t>1,953</w:t>
            </w:r>
          </w:p>
        </w:tc>
      </w:tr>
      <w:tr w:rsidR="00F9598D" w:rsidRPr="002E6961" w:rsidTr="00665708">
        <w:trPr>
          <w:trHeight w:val="452"/>
        </w:trPr>
        <w:tc>
          <w:tcPr>
            <w:tcW w:w="1558" w:type="pct"/>
            <w:tcBorders>
              <w:top w:val="nil"/>
              <w:left w:val="single" w:sz="8" w:space="0" w:color="000000"/>
              <w:bottom w:val="single" w:sz="4" w:space="0" w:color="auto"/>
              <w:right w:val="single" w:sz="4" w:space="0" w:color="000000"/>
            </w:tcBorders>
            <w:shd w:val="clear" w:color="auto" w:fill="FFFFFF"/>
            <w:tcMar>
              <w:top w:w="10" w:type="dxa"/>
              <w:left w:w="10" w:type="dxa"/>
              <w:bottom w:w="0" w:type="dxa"/>
              <w:right w:w="10" w:type="dxa"/>
            </w:tcMar>
            <w:vAlign w:val="center"/>
          </w:tcPr>
          <w:p w:rsidR="00F9598D" w:rsidRPr="00665708" w:rsidRDefault="00F9598D" w:rsidP="00F9598D">
            <w:pPr>
              <w:jc w:val="left"/>
              <w:textAlignment w:val="bottom"/>
              <w:rPr>
                <w:rFonts w:eastAsia="Times New Roman" w:cs="Arial"/>
                <w:kern w:val="24"/>
                <w:lang w:eastAsia="en-GB"/>
              </w:rPr>
            </w:pPr>
            <w:r>
              <w:rPr>
                <w:rFonts w:eastAsia="Times New Roman" w:cs="Arial"/>
                <w:kern w:val="24"/>
                <w:lang w:eastAsia="en-GB"/>
              </w:rPr>
              <w:t>ASSESSMENTS</w:t>
            </w:r>
          </w:p>
        </w:tc>
        <w:tc>
          <w:tcPr>
            <w:tcW w:w="689" w:type="pct"/>
            <w:tcBorders>
              <w:top w:val="nil"/>
              <w:left w:val="single" w:sz="4" w:space="0" w:color="000000"/>
              <w:bottom w:val="single" w:sz="4" w:space="0" w:color="auto"/>
              <w:right w:val="single" w:sz="4" w:space="0" w:color="000000"/>
            </w:tcBorders>
            <w:shd w:val="clear" w:color="auto" w:fill="FFFFFF"/>
            <w:tcMar>
              <w:top w:w="10" w:type="dxa"/>
              <w:left w:w="10" w:type="dxa"/>
              <w:bottom w:w="0" w:type="dxa"/>
              <w:right w:w="10" w:type="dxa"/>
            </w:tcMar>
            <w:vAlign w:val="center"/>
          </w:tcPr>
          <w:p w:rsidR="00F9598D" w:rsidRPr="00EF7451" w:rsidRDefault="00F9598D" w:rsidP="00EF7451">
            <w:pPr>
              <w:jc w:val="right"/>
              <w:textAlignment w:val="bottom"/>
              <w:rPr>
                <w:rFonts w:eastAsia="Times New Roman" w:cs="Arial"/>
                <w:lang w:eastAsia="en-GB"/>
              </w:rPr>
            </w:pPr>
            <w:r>
              <w:rPr>
                <w:rFonts w:eastAsia="Times New Roman" w:cs="Arial"/>
                <w:lang w:eastAsia="en-GB"/>
              </w:rPr>
              <w:t>1,527</w:t>
            </w:r>
          </w:p>
        </w:tc>
        <w:tc>
          <w:tcPr>
            <w:tcW w:w="689" w:type="pct"/>
            <w:tcBorders>
              <w:top w:val="nil"/>
              <w:left w:val="single" w:sz="4" w:space="0" w:color="000000"/>
              <w:bottom w:val="single" w:sz="4" w:space="0" w:color="auto"/>
              <w:right w:val="single" w:sz="8" w:space="0" w:color="000000"/>
            </w:tcBorders>
            <w:shd w:val="clear" w:color="auto" w:fill="FFFFFF"/>
            <w:tcMar>
              <w:top w:w="10" w:type="dxa"/>
              <w:left w:w="10" w:type="dxa"/>
              <w:bottom w:w="0" w:type="dxa"/>
              <w:right w:w="10" w:type="dxa"/>
            </w:tcMar>
            <w:vAlign w:val="center"/>
          </w:tcPr>
          <w:p w:rsidR="00F9598D" w:rsidRPr="00EF7451" w:rsidRDefault="00F9598D" w:rsidP="00EF7451">
            <w:pPr>
              <w:jc w:val="right"/>
              <w:textAlignment w:val="bottom"/>
              <w:rPr>
                <w:rFonts w:eastAsia="Times New Roman" w:cs="Arial"/>
                <w:lang w:eastAsia="en-GB"/>
              </w:rPr>
            </w:pPr>
            <w:r>
              <w:rPr>
                <w:rFonts w:eastAsia="Times New Roman" w:cs="Arial"/>
                <w:lang w:eastAsia="en-GB"/>
              </w:rPr>
              <w:t>2,752</w:t>
            </w:r>
          </w:p>
        </w:tc>
        <w:tc>
          <w:tcPr>
            <w:tcW w:w="688" w:type="pct"/>
            <w:tcBorders>
              <w:top w:val="nil"/>
              <w:left w:val="single" w:sz="4" w:space="0" w:color="000000"/>
              <w:bottom w:val="single" w:sz="4" w:space="0" w:color="auto"/>
              <w:right w:val="single" w:sz="4" w:space="0" w:color="000000"/>
            </w:tcBorders>
            <w:shd w:val="clear" w:color="auto" w:fill="FFFFFF"/>
            <w:vAlign w:val="center"/>
          </w:tcPr>
          <w:p w:rsidR="00F9598D" w:rsidRPr="00665708" w:rsidRDefault="00F9598D" w:rsidP="00EF7451">
            <w:pPr>
              <w:jc w:val="right"/>
              <w:textAlignment w:val="bottom"/>
              <w:rPr>
                <w:rFonts w:eastAsia="Times New Roman" w:cs="Arial"/>
                <w:lang w:eastAsia="en-GB"/>
              </w:rPr>
            </w:pPr>
            <w:r>
              <w:rPr>
                <w:rFonts w:eastAsia="Times New Roman" w:cs="Arial"/>
                <w:lang w:eastAsia="en-GB"/>
              </w:rPr>
              <w:t>1,225</w:t>
            </w:r>
          </w:p>
        </w:tc>
        <w:tc>
          <w:tcPr>
            <w:tcW w:w="688" w:type="pct"/>
            <w:tcBorders>
              <w:top w:val="nil"/>
              <w:left w:val="single" w:sz="4" w:space="0" w:color="000000"/>
              <w:bottom w:val="single" w:sz="4" w:space="0" w:color="auto"/>
              <w:right w:val="single" w:sz="8" w:space="0" w:color="000000"/>
            </w:tcBorders>
            <w:shd w:val="clear" w:color="auto" w:fill="FFFFFF"/>
            <w:vAlign w:val="center"/>
          </w:tcPr>
          <w:p w:rsidR="00F9598D" w:rsidRPr="00665708" w:rsidRDefault="00F9598D" w:rsidP="00EF7451">
            <w:pPr>
              <w:jc w:val="right"/>
              <w:textAlignment w:val="bottom"/>
              <w:rPr>
                <w:rFonts w:eastAsia="Times New Roman" w:cs="Arial"/>
                <w:kern w:val="24"/>
                <w:lang w:eastAsia="en-GB"/>
              </w:rPr>
            </w:pPr>
            <w:r>
              <w:rPr>
                <w:rFonts w:eastAsia="Times New Roman" w:cs="Arial"/>
                <w:kern w:val="24"/>
                <w:lang w:eastAsia="en-GB"/>
              </w:rPr>
              <w:t>0</w:t>
            </w:r>
          </w:p>
        </w:tc>
        <w:tc>
          <w:tcPr>
            <w:tcW w:w="688" w:type="pct"/>
            <w:tcBorders>
              <w:top w:val="nil"/>
              <w:left w:val="single" w:sz="4" w:space="0" w:color="000000"/>
              <w:bottom w:val="single" w:sz="4" w:space="0" w:color="auto"/>
              <w:right w:val="single" w:sz="8" w:space="0" w:color="000000"/>
            </w:tcBorders>
            <w:shd w:val="clear" w:color="auto" w:fill="FFFFFF"/>
            <w:vAlign w:val="center"/>
          </w:tcPr>
          <w:p w:rsidR="00F9598D" w:rsidRPr="00665708" w:rsidRDefault="00F9598D" w:rsidP="00EF7451">
            <w:pPr>
              <w:jc w:val="right"/>
              <w:textAlignment w:val="bottom"/>
              <w:rPr>
                <w:rFonts w:eastAsia="Times New Roman" w:cs="Arial"/>
                <w:kern w:val="24"/>
                <w:lang w:eastAsia="en-GB"/>
              </w:rPr>
            </w:pPr>
            <w:r>
              <w:rPr>
                <w:rFonts w:eastAsia="Times New Roman" w:cs="Arial"/>
                <w:kern w:val="24"/>
                <w:lang w:eastAsia="en-GB"/>
              </w:rPr>
              <w:t>2,752</w:t>
            </w:r>
          </w:p>
        </w:tc>
      </w:tr>
    </w:tbl>
    <w:p w:rsidR="00DD0DDD" w:rsidRPr="002E6961" w:rsidRDefault="00DD0DDD" w:rsidP="003944A4">
      <w:pPr>
        <w:spacing w:after="200" w:line="276" w:lineRule="auto"/>
        <w:rPr>
          <w:color w:val="FF0000"/>
          <w:sz w:val="24"/>
          <w:szCs w:val="24"/>
        </w:rPr>
      </w:pPr>
    </w:p>
    <w:p w:rsidR="00067F37" w:rsidRPr="00953404" w:rsidRDefault="00D21E7F" w:rsidP="003944A4">
      <w:pPr>
        <w:spacing w:after="200" w:line="276" w:lineRule="auto"/>
        <w:rPr>
          <w:b/>
          <w:sz w:val="24"/>
          <w:szCs w:val="24"/>
        </w:rPr>
      </w:pPr>
      <w:r w:rsidRPr="00953404">
        <w:rPr>
          <w:b/>
          <w:sz w:val="24"/>
          <w:szCs w:val="24"/>
        </w:rPr>
        <w:t>Activity Monitoring:</w:t>
      </w:r>
    </w:p>
    <w:p w:rsidR="00953404" w:rsidRDefault="00F9598D" w:rsidP="00DD4696">
      <w:pPr>
        <w:rPr>
          <w:sz w:val="24"/>
          <w:szCs w:val="24"/>
        </w:rPr>
      </w:pPr>
      <w:r w:rsidRPr="00953404">
        <w:rPr>
          <w:sz w:val="24"/>
          <w:szCs w:val="24"/>
        </w:rPr>
        <w:t>We now have resolved the core elem</w:t>
      </w:r>
      <w:r w:rsidR="00953404" w:rsidRPr="00953404">
        <w:rPr>
          <w:sz w:val="24"/>
          <w:szCs w:val="24"/>
        </w:rPr>
        <w:t xml:space="preserve">ents of activity reporting. There are still </w:t>
      </w:r>
      <w:r w:rsidR="006613B7" w:rsidRPr="00953404">
        <w:rPr>
          <w:sz w:val="24"/>
          <w:szCs w:val="24"/>
        </w:rPr>
        <w:t>requirements</w:t>
      </w:r>
      <w:r w:rsidR="00953404" w:rsidRPr="00953404">
        <w:rPr>
          <w:sz w:val="24"/>
          <w:szCs w:val="24"/>
        </w:rPr>
        <w:t xml:space="preserve"> for further refinement work will to </w:t>
      </w:r>
      <w:r w:rsidR="006613B7" w:rsidRPr="00953404">
        <w:rPr>
          <w:sz w:val="24"/>
          <w:szCs w:val="24"/>
        </w:rPr>
        <w:t>be</w:t>
      </w:r>
      <w:r w:rsidR="00953404" w:rsidRPr="00953404">
        <w:rPr>
          <w:sz w:val="24"/>
          <w:szCs w:val="24"/>
        </w:rPr>
        <w:t xml:space="preserve"> undertaken but core activity reporting is now </w:t>
      </w:r>
      <w:r w:rsidR="006613B7" w:rsidRPr="00953404">
        <w:rPr>
          <w:sz w:val="24"/>
          <w:szCs w:val="24"/>
        </w:rPr>
        <w:t>available</w:t>
      </w:r>
      <w:r w:rsidR="00953404" w:rsidRPr="00953404">
        <w:rPr>
          <w:sz w:val="24"/>
          <w:szCs w:val="24"/>
        </w:rPr>
        <w:t xml:space="preserve"> at Divisional, Specialty and POD levels against plan and against prior year performance.</w:t>
      </w:r>
    </w:p>
    <w:p w:rsidR="00DD4696" w:rsidRPr="00953404" w:rsidRDefault="00DD4696" w:rsidP="00DD4696">
      <w:pPr>
        <w:rPr>
          <w:sz w:val="24"/>
          <w:szCs w:val="24"/>
        </w:rPr>
      </w:pPr>
    </w:p>
    <w:p w:rsidR="00F9598D" w:rsidRDefault="00D21E7F" w:rsidP="00DD4696">
      <w:pPr>
        <w:rPr>
          <w:sz w:val="24"/>
          <w:szCs w:val="24"/>
        </w:rPr>
      </w:pPr>
      <w:r w:rsidRPr="00953404">
        <w:rPr>
          <w:sz w:val="24"/>
          <w:szCs w:val="24"/>
        </w:rPr>
        <w:t xml:space="preserve">Significant delays in inpatient coding, resulting in </w:t>
      </w:r>
      <w:r w:rsidR="00953404" w:rsidRPr="00953404">
        <w:rPr>
          <w:sz w:val="24"/>
          <w:szCs w:val="24"/>
        </w:rPr>
        <w:t>a high levels of uncoded spells still remain</w:t>
      </w:r>
      <w:r w:rsidR="00953404">
        <w:rPr>
          <w:sz w:val="24"/>
          <w:szCs w:val="24"/>
        </w:rPr>
        <w:t xml:space="preserve"> which is</w:t>
      </w:r>
      <w:r w:rsidR="00953404" w:rsidRPr="00953404">
        <w:rPr>
          <w:sz w:val="24"/>
          <w:szCs w:val="24"/>
        </w:rPr>
        <w:t xml:space="preserve"> affecting </w:t>
      </w:r>
      <w:r w:rsidR="00953404">
        <w:rPr>
          <w:sz w:val="24"/>
          <w:szCs w:val="24"/>
        </w:rPr>
        <w:t xml:space="preserve">the ability for </w:t>
      </w:r>
      <w:r w:rsidR="00953404" w:rsidRPr="00953404">
        <w:rPr>
          <w:sz w:val="24"/>
          <w:szCs w:val="24"/>
        </w:rPr>
        <w:t>accurate pricing. However, the coding backlog clearance is now well underway with additional support in place</w:t>
      </w:r>
      <w:r w:rsidR="00953404">
        <w:rPr>
          <w:sz w:val="24"/>
          <w:szCs w:val="24"/>
        </w:rPr>
        <w:t xml:space="preserve"> and the financial impact is mitigated through the use of average case mix costing</w:t>
      </w:r>
      <w:r w:rsidR="00953404" w:rsidRPr="00953404">
        <w:rPr>
          <w:sz w:val="24"/>
          <w:szCs w:val="24"/>
        </w:rPr>
        <w:t>.</w:t>
      </w:r>
    </w:p>
    <w:p w:rsidR="00DD4696" w:rsidRDefault="00DD4696" w:rsidP="00DD4696">
      <w:pPr>
        <w:rPr>
          <w:sz w:val="24"/>
          <w:szCs w:val="24"/>
        </w:rPr>
      </w:pPr>
    </w:p>
    <w:p w:rsidR="00953404" w:rsidRDefault="00953404" w:rsidP="00DD4696">
      <w:pPr>
        <w:rPr>
          <w:sz w:val="24"/>
          <w:szCs w:val="24"/>
        </w:rPr>
      </w:pPr>
      <w:r>
        <w:rPr>
          <w:sz w:val="24"/>
          <w:szCs w:val="24"/>
        </w:rPr>
        <w:t xml:space="preserve">The Increased A&amp;E attendances and Non Elective admissions continued in July, above 17/18 </w:t>
      </w:r>
      <w:r w:rsidR="006613B7">
        <w:rPr>
          <w:sz w:val="24"/>
          <w:szCs w:val="24"/>
        </w:rPr>
        <w:t>equivalent</w:t>
      </w:r>
      <w:r>
        <w:rPr>
          <w:sz w:val="24"/>
          <w:szCs w:val="24"/>
        </w:rPr>
        <w:t xml:space="preserve"> levels, the 2018/19 Trust plan and national planning assumptions increasing </w:t>
      </w:r>
      <w:r w:rsidR="00E4367D">
        <w:rPr>
          <w:sz w:val="24"/>
          <w:szCs w:val="24"/>
        </w:rPr>
        <w:t xml:space="preserve">the </w:t>
      </w:r>
      <w:r>
        <w:rPr>
          <w:sz w:val="24"/>
          <w:szCs w:val="24"/>
        </w:rPr>
        <w:t>pressure</w:t>
      </w:r>
      <w:r w:rsidR="00E4367D">
        <w:rPr>
          <w:sz w:val="24"/>
          <w:szCs w:val="24"/>
        </w:rPr>
        <w:t xml:space="preserve"> on emergency services and limiting planned care improvements.</w:t>
      </w:r>
    </w:p>
    <w:p w:rsidR="00DD4696" w:rsidRDefault="00DD4696">
      <w:pPr>
        <w:spacing w:after="200" w:line="276" w:lineRule="auto"/>
        <w:jc w:val="left"/>
        <w:rPr>
          <w:sz w:val="24"/>
          <w:szCs w:val="24"/>
        </w:rPr>
      </w:pPr>
      <w:r>
        <w:rPr>
          <w:sz w:val="24"/>
          <w:szCs w:val="24"/>
        </w:rPr>
        <w:br w:type="page"/>
      </w:r>
    </w:p>
    <w:p w:rsidR="00DD4696" w:rsidRPr="002E6961" w:rsidRDefault="00DD4696" w:rsidP="00DD4696">
      <w:pPr>
        <w:rPr>
          <w:color w:val="FF0000"/>
          <w:sz w:val="24"/>
          <w:szCs w:val="24"/>
        </w:rPr>
      </w:pPr>
    </w:p>
    <w:p w:rsidR="00F9598D" w:rsidRPr="002E6961" w:rsidRDefault="00953404" w:rsidP="00953404">
      <w:pPr>
        <w:spacing w:after="200" w:line="276" w:lineRule="auto"/>
        <w:jc w:val="center"/>
        <w:rPr>
          <w:color w:val="FF0000"/>
          <w:sz w:val="24"/>
          <w:szCs w:val="24"/>
        </w:rPr>
      </w:pPr>
      <w:r>
        <w:rPr>
          <w:noProof/>
          <w:lang w:eastAsia="en-GB"/>
        </w:rPr>
        <w:drawing>
          <wp:inline distT="0" distB="0" distL="0" distR="0" wp14:anchorId="731C0716" wp14:editId="2779FF12">
            <wp:extent cx="4500000" cy="2268000"/>
            <wp:effectExtent l="0" t="0" r="1524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1E7F" w:rsidRPr="00D21E7F" w:rsidRDefault="00665708" w:rsidP="00D21E7F">
      <w:pPr>
        <w:spacing w:after="200" w:line="276" w:lineRule="auto"/>
        <w:jc w:val="center"/>
        <w:rPr>
          <w:sz w:val="24"/>
          <w:szCs w:val="24"/>
        </w:rPr>
      </w:pPr>
      <w:r w:rsidRPr="00665708">
        <w:rPr>
          <w:noProof/>
          <w:lang w:eastAsia="en-GB"/>
        </w:rPr>
        <w:drawing>
          <wp:inline distT="0" distB="0" distL="0" distR="0" wp14:anchorId="28528C75" wp14:editId="01E32672">
            <wp:extent cx="4500000" cy="226626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0000" cy="2266265"/>
                    </a:xfrm>
                    <a:prstGeom prst="rect">
                      <a:avLst/>
                    </a:prstGeom>
                  </pic:spPr>
                </pic:pic>
              </a:graphicData>
            </a:graphic>
          </wp:inline>
        </w:drawing>
      </w:r>
    </w:p>
    <w:p w:rsidR="00E4367D" w:rsidRDefault="00E4367D" w:rsidP="00DD4696">
      <w:pPr>
        <w:rPr>
          <w:sz w:val="24"/>
          <w:szCs w:val="24"/>
        </w:rPr>
      </w:pPr>
      <w:r>
        <w:rPr>
          <w:sz w:val="24"/>
          <w:szCs w:val="24"/>
        </w:rPr>
        <w:t>In light of the above</w:t>
      </w:r>
      <w:r w:rsidR="002B3417">
        <w:rPr>
          <w:sz w:val="24"/>
          <w:szCs w:val="24"/>
        </w:rPr>
        <w:t xml:space="preserve"> emergency pressures</w:t>
      </w:r>
      <w:r>
        <w:rPr>
          <w:sz w:val="24"/>
          <w:szCs w:val="24"/>
        </w:rPr>
        <w:t xml:space="preserve">, we have seen planned elective activity remain stable at 17/18 </w:t>
      </w:r>
      <w:r w:rsidR="006613B7">
        <w:rPr>
          <w:sz w:val="24"/>
          <w:szCs w:val="24"/>
        </w:rPr>
        <w:t>levels</w:t>
      </w:r>
      <w:r>
        <w:rPr>
          <w:sz w:val="24"/>
          <w:szCs w:val="24"/>
        </w:rPr>
        <w:t xml:space="preserve"> but unable to keep pace </w:t>
      </w:r>
      <w:r w:rsidR="002B3417">
        <w:rPr>
          <w:sz w:val="24"/>
          <w:szCs w:val="24"/>
        </w:rPr>
        <w:t xml:space="preserve">with </w:t>
      </w:r>
      <w:r>
        <w:rPr>
          <w:sz w:val="24"/>
          <w:szCs w:val="24"/>
        </w:rPr>
        <w:t xml:space="preserve">the additional </w:t>
      </w:r>
      <w:r w:rsidR="002B3417">
        <w:rPr>
          <w:sz w:val="24"/>
          <w:szCs w:val="24"/>
        </w:rPr>
        <w:t xml:space="preserve">requirements </w:t>
      </w:r>
      <w:r>
        <w:rPr>
          <w:sz w:val="24"/>
          <w:szCs w:val="24"/>
        </w:rPr>
        <w:t>planned.</w:t>
      </w:r>
    </w:p>
    <w:p w:rsidR="00DD4696" w:rsidRDefault="00DD4696" w:rsidP="00DD4696">
      <w:pPr>
        <w:rPr>
          <w:sz w:val="24"/>
          <w:szCs w:val="24"/>
        </w:rPr>
      </w:pPr>
    </w:p>
    <w:p w:rsidR="00DD0DDD" w:rsidRDefault="00665708" w:rsidP="00D21E7F">
      <w:pPr>
        <w:spacing w:after="200" w:line="276" w:lineRule="auto"/>
        <w:jc w:val="center"/>
        <w:rPr>
          <w:sz w:val="24"/>
          <w:szCs w:val="24"/>
        </w:rPr>
      </w:pPr>
      <w:r>
        <w:rPr>
          <w:noProof/>
          <w:lang w:eastAsia="en-GB"/>
        </w:rPr>
        <w:drawing>
          <wp:inline distT="0" distB="0" distL="0" distR="0" wp14:anchorId="1A2A62F4" wp14:editId="40428FFA">
            <wp:extent cx="4500000" cy="2264400"/>
            <wp:effectExtent l="0" t="0" r="15240" b="222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367D" w:rsidRDefault="00E4367D" w:rsidP="00DD4696">
      <w:pPr>
        <w:rPr>
          <w:sz w:val="24"/>
          <w:szCs w:val="24"/>
        </w:rPr>
      </w:pPr>
      <w:r>
        <w:rPr>
          <w:sz w:val="24"/>
          <w:szCs w:val="24"/>
        </w:rPr>
        <w:t xml:space="preserve">After a disappointing first Quarter, daycase activity has shown a significant improvement in July. This level of activity will be required </w:t>
      </w:r>
      <w:r w:rsidR="002B3417">
        <w:rPr>
          <w:sz w:val="24"/>
          <w:szCs w:val="24"/>
        </w:rPr>
        <w:t xml:space="preserve">to continue over the remaining periods of the year </w:t>
      </w:r>
      <w:r>
        <w:rPr>
          <w:sz w:val="24"/>
          <w:szCs w:val="24"/>
        </w:rPr>
        <w:t xml:space="preserve">and </w:t>
      </w:r>
      <w:r w:rsidR="006613B7">
        <w:rPr>
          <w:sz w:val="24"/>
          <w:szCs w:val="24"/>
        </w:rPr>
        <w:t>particularly</w:t>
      </w:r>
      <w:r>
        <w:rPr>
          <w:sz w:val="24"/>
          <w:szCs w:val="24"/>
        </w:rPr>
        <w:t xml:space="preserve"> over the </w:t>
      </w:r>
      <w:r w:rsidR="006613B7">
        <w:rPr>
          <w:sz w:val="24"/>
          <w:szCs w:val="24"/>
        </w:rPr>
        <w:t>winter</w:t>
      </w:r>
      <w:r>
        <w:rPr>
          <w:sz w:val="24"/>
          <w:szCs w:val="24"/>
        </w:rPr>
        <w:t xml:space="preserve"> period to achieve planned targets.</w:t>
      </w:r>
    </w:p>
    <w:p w:rsidR="00CD2235" w:rsidRDefault="00CD2235">
      <w:pPr>
        <w:spacing w:after="200" w:line="276" w:lineRule="auto"/>
        <w:jc w:val="left"/>
        <w:rPr>
          <w:sz w:val="24"/>
          <w:szCs w:val="24"/>
        </w:rPr>
      </w:pPr>
      <w:r>
        <w:rPr>
          <w:sz w:val="24"/>
          <w:szCs w:val="24"/>
        </w:rPr>
        <w:br w:type="page"/>
      </w:r>
    </w:p>
    <w:p w:rsidR="00E4367D" w:rsidRDefault="00E4367D" w:rsidP="00D21E7F">
      <w:pPr>
        <w:spacing w:after="200" w:line="276" w:lineRule="auto"/>
        <w:jc w:val="center"/>
        <w:rPr>
          <w:sz w:val="24"/>
          <w:szCs w:val="24"/>
        </w:rPr>
      </w:pPr>
    </w:p>
    <w:p w:rsidR="00DD0DDD" w:rsidRDefault="00665708" w:rsidP="00D21E7F">
      <w:pPr>
        <w:spacing w:after="200" w:line="276" w:lineRule="auto"/>
        <w:jc w:val="center"/>
        <w:rPr>
          <w:sz w:val="24"/>
          <w:szCs w:val="24"/>
        </w:rPr>
      </w:pPr>
      <w:r w:rsidRPr="00665708">
        <w:rPr>
          <w:noProof/>
          <w:lang w:eastAsia="en-GB"/>
        </w:rPr>
        <w:drawing>
          <wp:inline distT="0" distB="0" distL="0" distR="0" wp14:anchorId="398E8B03" wp14:editId="2C77C629">
            <wp:extent cx="4391241" cy="22644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91241" cy="2264400"/>
                    </a:xfrm>
                    <a:prstGeom prst="rect">
                      <a:avLst/>
                    </a:prstGeom>
                  </pic:spPr>
                </pic:pic>
              </a:graphicData>
            </a:graphic>
          </wp:inline>
        </w:drawing>
      </w:r>
    </w:p>
    <w:p w:rsidR="00E4367D" w:rsidRDefault="00E4367D" w:rsidP="001A2F20">
      <w:pPr>
        <w:rPr>
          <w:sz w:val="24"/>
          <w:szCs w:val="24"/>
        </w:rPr>
      </w:pPr>
      <w:r>
        <w:rPr>
          <w:sz w:val="24"/>
          <w:szCs w:val="24"/>
        </w:rPr>
        <w:t xml:space="preserve">Planned capacity expansion plans have been slow to mobilise resulting in Outpatient activity remaining broadly in line with 17/18. </w:t>
      </w:r>
      <w:r w:rsidR="006613B7">
        <w:rPr>
          <w:sz w:val="24"/>
          <w:szCs w:val="24"/>
        </w:rPr>
        <w:t>These have</w:t>
      </w:r>
      <w:r>
        <w:rPr>
          <w:sz w:val="24"/>
          <w:szCs w:val="24"/>
        </w:rPr>
        <w:t xml:space="preserve"> now been agreed for the eight fragile specialties with the remaining specialities to be completed by </w:t>
      </w:r>
      <w:r w:rsidR="006613B7">
        <w:rPr>
          <w:sz w:val="24"/>
          <w:szCs w:val="24"/>
        </w:rPr>
        <w:t>mid-September</w:t>
      </w:r>
      <w:r>
        <w:rPr>
          <w:sz w:val="24"/>
          <w:szCs w:val="24"/>
        </w:rPr>
        <w:t xml:space="preserve">. Rapid implementation and increased efficient use of </w:t>
      </w:r>
      <w:r w:rsidR="006613B7">
        <w:rPr>
          <w:sz w:val="24"/>
          <w:szCs w:val="24"/>
        </w:rPr>
        <w:t>existing</w:t>
      </w:r>
      <w:r>
        <w:rPr>
          <w:sz w:val="24"/>
          <w:szCs w:val="24"/>
        </w:rPr>
        <w:t xml:space="preserve"> capacity will be required to keep pace with demand and to achieve planned levels.</w:t>
      </w:r>
    </w:p>
    <w:p w:rsidR="001A2F20" w:rsidRDefault="001A2F20" w:rsidP="001A2F20">
      <w:pPr>
        <w:rPr>
          <w:sz w:val="24"/>
          <w:szCs w:val="24"/>
        </w:rPr>
      </w:pPr>
    </w:p>
    <w:p w:rsidR="00D21E7F" w:rsidRPr="00A65520" w:rsidRDefault="00665708" w:rsidP="00D21E7F">
      <w:pPr>
        <w:spacing w:after="200" w:line="276" w:lineRule="auto"/>
        <w:jc w:val="center"/>
        <w:rPr>
          <w:sz w:val="24"/>
          <w:szCs w:val="24"/>
        </w:rPr>
      </w:pPr>
      <w:r w:rsidRPr="00A65520">
        <w:rPr>
          <w:noProof/>
          <w:lang w:eastAsia="en-GB"/>
        </w:rPr>
        <w:drawing>
          <wp:inline distT="0" distB="0" distL="0" distR="0" wp14:anchorId="4DB52800" wp14:editId="39CC59BF">
            <wp:extent cx="4412511" cy="2296633"/>
            <wp:effectExtent l="0" t="0" r="2667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44A4" w:rsidRPr="00A65520" w:rsidRDefault="00A11DC0" w:rsidP="003944A4">
      <w:pPr>
        <w:spacing w:line="276" w:lineRule="auto"/>
        <w:rPr>
          <w:b/>
          <w:sz w:val="24"/>
          <w:szCs w:val="24"/>
        </w:rPr>
      </w:pPr>
      <w:r w:rsidRPr="00A65520">
        <w:rPr>
          <w:b/>
          <w:sz w:val="24"/>
          <w:szCs w:val="24"/>
        </w:rPr>
        <w:t>Contracting and</w:t>
      </w:r>
      <w:r w:rsidR="003944A4" w:rsidRPr="00A65520">
        <w:rPr>
          <w:b/>
          <w:sz w:val="24"/>
          <w:szCs w:val="24"/>
        </w:rPr>
        <w:t xml:space="preserve"> Income:</w:t>
      </w:r>
    </w:p>
    <w:p w:rsidR="003944A4" w:rsidRPr="00A65520" w:rsidRDefault="003944A4" w:rsidP="003944A4">
      <w:pPr>
        <w:spacing w:line="276" w:lineRule="auto"/>
        <w:rPr>
          <w:b/>
        </w:rPr>
      </w:pPr>
    </w:p>
    <w:p w:rsidR="00306021" w:rsidRPr="00A65520" w:rsidRDefault="00306021" w:rsidP="001A2F20">
      <w:pPr>
        <w:rPr>
          <w:sz w:val="24"/>
          <w:szCs w:val="24"/>
        </w:rPr>
      </w:pPr>
      <w:r w:rsidRPr="00A65520">
        <w:rPr>
          <w:sz w:val="24"/>
          <w:szCs w:val="24"/>
        </w:rPr>
        <w:t>The Trust and local CCGs have been required to develop more closely aligned plans by regulators</w:t>
      </w:r>
      <w:r w:rsidR="00027E4F" w:rsidRPr="00A65520">
        <w:rPr>
          <w:sz w:val="24"/>
          <w:szCs w:val="24"/>
        </w:rPr>
        <w:t>. At the System Improvement Board at the start of July, a gap between CCG and Trust Plans was discussed, and a follow on session to develop mitigation plans was held on 13</w:t>
      </w:r>
      <w:r w:rsidR="00027E4F" w:rsidRPr="00A65520">
        <w:rPr>
          <w:sz w:val="24"/>
          <w:szCs w:val="24"/>
          <w:vertAlign w:val="superscript"/>
        </w:rPr>
        <w:t>th</w:t>
      </w:r>
      <w:r w:rsidR="00027E4F" w:rsidRPr="00A65520">
        <w:rPr>
          <w:sz w:val="24"/>
          <w:szCs w:val="24"/>
        </w:rPr>
        <w:t xml:space="preserve"> July.</w:t>
      </w:r>
    </w:p>
    <w:p w:rsidR="00027E4F" w:rsidRPr="00A65520" w:rsidRDefault="00027E4F" w:rsidP="001A2F20">
      <w:pPr>
        <w:rPr>
          <w:sz w:val="24"/>
          <w:szCs w:val="24"/>
        </w:rPr>
      </w:pPr>
    </w:p>
    <w:p w:rsidR="007537DB" w:rsidRPr="00A65520" w:rsidRDefault="007537DB" w:rsidP="001A2F20">
      <w:pPr>
        <w:rPr>
          <w:sz w:val="24"/>
          <w:szCs w:val="24"/>
        </w:rPr>
      </w:pPr>
      <w:r w:rsidRPr="00A65520">
        <w:rPr>
          <w:sz w:val="24"/>
          <w:szCs w:val="24"/>
        </w:rPr>
        <w:t xml:space="preserve">NLAG’s income under this plan would be £10.2m below plan (£6.0m of QUIPP, and £4.2m of residual differences in forecasting assumptions), partially offset by £2.4m of expenditure reduction. </w:t>
      </w:r>
    </w:p>
    <w:p w:rsidR="00027E4F" w:rsidRPr="00A65520" w:rsidRDefault="00027E4F" w:rsidP="001A2F20">
      <w:pPr>
        <w:rPr>
          <w:sz w:val="24"/>
          <w:szCs w:val="24"/>
        </w:rPr>
      </w:pPr>
    </w:p>
    <w:p w:rsidR="007537DB" w:rsidRPr="00A65520" w:rsidRDefault="007537DB" w:rsidP="001A2F20">
      <w:pPr>
        <w:rPr>
          <w:sz w:val="24"/>
          <w:szCs w:val="24"/>
        </w:rPr>
      </w:pPr>
      <w:r w:rsidRPr="00A65520">
        <w:rPr>
          <w:sz w:val="24"/>
          <w:szCs w:val="24"/>
        </w:rPr>
        <w:t xml:space="preserve">The contracting workplan agreed in April continues to develop. The current contract value </w:t>
      </w:r>
      <w:r w:rsidR="00A65520" w:rsidRPr="00A65520">
        <w:rPr>
          <w:sz w:val="24"/>
          <w:szCs w:val="24"/>
        </w:rPr>
        <w:t xml:space="preserve">has been </w:t>
      </w:r>
      <w:r w:rsidRPr="00A65520">
        <w:rPr>
          <w:sz w:val="24"/>
          <w:szCs w:val="24"/>
        </w:rPr>
        <w:t xml:space="preserve">reset at the end of July to reflect the technical and pricing changes agreed to date, </w:t>
      </w:r>
      <w:r w:rsidR="00A65520" w:rsidRPr="00A65520">
        <w:rPr>
          <w:sz w:val="24"/>
          <w:szCs w:val="24"/>
        </w:rPr>
        <w:t>with a further variation to follow in August</w:t>
      </w:r>
      <w:r w:rsidRPr="00A65520">
        <w:rPr>
          <w:sz w:val="24"/>
          <w:szCs w:val="24"/>
        </w:rPr>
        <w:t xml:space="preserve"> </w:t>
      </w:r>
      <w:r w:rsidR="00A65520" w:rsidRPr="00A65520">
        <w:rPr>
          <w:sz w:val="24"/>
          <w:szCs w:val="24"/>
        </w:rPr>
        <w:t xml:space="preserve">to </w:t>
      </w:r>
      <w:r w:rsidRPr="00A65520">
        <w:rPr>
          <w:sz w:val="24"/>
          <w:szCs w:val="24"/>
        </w:rPr>
        <w:t>allow for any further repricing work to be completed.</w:t>
      </w:r>
    </w:p>
    <w:p w:rsidR="007537DB" w:rsidRPr="00A65520" w:rsidRDefault="007537DB" w:rsidP="00027E4F">
      <w:pPr>
        <w:spacing w:line="276" w:lineRule="auto"/>
        <w:rPr>
          <w:sz w:val="24"/>
          <w:szCs w:val="24"/>
        </w:rPr>
      </w:pPr>
    </w:p>
    <w:p w:rsidR="007537DB" w:rsidRPr="00A65520" w:rsidRDefault="007537DB" w:rsidP="001A2F20">
      <w:pPr>
        <w:rPr>
          <w:sz w:val="24"/>
          <w:szCs w:val="24"/>
        </w:rPr>
      </w:pPr>
      <w:r w:rsidRPr="00A65520">
        <w:rPr>
          <w:sz w:val="24"/>
          <w:szCs w:val="24"/>
        </w:rPr>
        <w:t>At this stage QUIPP plans remain in large part aspirational, and do not meet the thresholds set for incorporation into the contract:</w:t>
      </w:r>
    </w:p>
    <w:p w:rsidR="007537DB" w:rsidRPr="00A65520" w:rsidRDefault="007537DB" w:rsidP="00027E4F">
      <w:pPr>
        <w:spacing w:line="276" w:lineRule="auto"/>
        <w:rPr>
          <w:sz w:val="24"/>
          <w:szCs w:val="24"/>
        </w:rPr>
      </w:pPr>
    </w:p>
    <w:p w:rsidR="007537DB" w:rsidRPr="00A65520" w:rsidRDefault="007537DB" w:rsidP="007537DB">
      <w:pPr>
        <w:pStyle w:val="ListParagraph"/>
        <w:numPr>
          <w:ilvl w:val="0"/>
          <w:numId w:val="34"/>
        </w:numPr>
        <w:spacing w:line="276" w:lineRule="auto"/>
        <w:rPr>
          <w:sz w:val="24"/>
          <w:szCs w:val="24"/>
        </w:rPr>
      </w:pPr>
      <w:r w:rsidRPr="00A65520">
        <w:rPr>
          <w:sz w:val="24"/>
          <w:szCs w:val="24"/>
        </w:rPr>
        <w:t>Is the change in line with clinical best practice?</w:t>
      </w:r>
    </w:p>
    <w:p w:rsidR="007537DB" w:rsidRPr="00A65520" w:rsidRDefault="007537DB" w:rsidP="007537DB">
      <w:pPr>
        <w:pStyle w:val="ListParagraph"/>
        <w:numPr>
          <w:ilvl w:val="0"/>
          <w:numId w:val="34"/>
        </w:numPr>
        <w:spacing w:line="276" w:lineRule="auto"/>
        <w:rPr>
          <w:sz w:val="24"/>
          <w:szCs w:val="24"/>
        </w:rPr>
      </w:pPr>
      <w:r w:rsidRPr="00A65520">
        <w:rPr>
          <w:sz w:val="24"/>
          <w:szCs w:val="24"/>
        </w:rPr>
        <w:t>Is it agreed by both Commissioners and Providers?</w:t>
      </w:r>
    </w:p>
    <w:p w:rsidR="007537DB" w:rsidRPr="00A65520" w:rsidRDefault="007537DB" w:rsidP="007537DB">
      <w:pPr>
        <w:pStyle w:val="ListParagraph"/>
        <w:numPr>
          <w:ilvl w:val="0"/>
          <w:numId w:val="34"/>
        </w:numPr>
        <w:spacing w:line="276" w:lineRule="auto"/>
        <w:rPr>
          <w:sz w:val="24"/>
          <w:szCs w:val="24"/>
        </w:rPr>
      </w:pPr>
      <w:r w:rsidRPr="00A65520">
        <w:rPr>
          <w:sz w:val="24"/>
          <w:szCs w:val="24"/>
        </w:rPr>
        <w:t>Is the impact robustly quantified in activity and income terms?</w:t>
      </w:r>
    </w:p>
    <w:p w:rsidR="007537DB" w:rsidRPr="00A65520" w:rsidRDefault="007537DB" w:rsidP="007537DB">
      <w:pPr>
        <w:pStyle w:val="ListParagraph"/>
        <w:numPr>
          <w:ilvl w:val="0"/>
          <w:numId w:val="34"/>
        </w:numPr>
        <w:spacing w:line="276" w:lineRule="auto"/>
        <w:rPr>
          <w:sz w:val="24"/>
          <w:szCs w:val="24"/>
        </w:rPr>
      </w:pPr>
      <w:r w:rsidRPr="00A65520">
        <w:rPr>
          <w:sz w:val="24"/>
          <w:szCs w:val="24"/>
        </w:rPr>
        <w:t>Is there a robust implementation plan and timeline?</w:t>
      </w:r>
    </w:p>
    <w:p w:rsidR="007537DB" w:rsidRPr="00A65520" w:rsidRDefault="007537DB" w:rsidP="00027E4F">
      <w:pPr>
        <w:spacing w:line="276" w:lineRule="auto"/>
        <w:rPr>
          <w:sz w:val="24"/>
          <w:szCs w:val="24"/>
        </w:rPr>
      </w:pPr>
    </w:p>
    <w:p w:rsidR="007537DB" w:rsidRPr="00A65520" w:rsidRDefault="007537DB" w:rsidP="001A2F20">
      <w:pPr>
        <w:rPr>
          <w:sz w:val="24"/>
          <w:szCs w:val="24"/>
        </w:rPr>
      </w:pPr>
      <w:r w:rsidRPr="00A65520">
        <w:rPr>
          <w:sz w:val="24"/>
          <w:szCs w:val="24"/>
        </w:rPr>
        <w:t>QUIPP remains a high risk for Commissioners – but one that we have committed to help them with, given that this will assist with capacity issues, waiting list reductions, and reducing the whole community financial gap (even if it may compromise NLAG’s income levels).</w:t>
      </w:r>
    </w:p>
    <w:p w:rsidR="00027E4F" w:rsidRPr="00A65520" w:rsidRDefault="00027E4F" w:rsidP="001A2F20">
      <w:pPr>
        <w:rPr>
          <w:sz w:val="24"/>
          <w:szCs w:val="24"/>
        </w:rPr>
      </w:pPr>
    </w:p>
    <w:p w:rsidR="00306021" w:rsidRPr="00A65520" w:rsidRDefault="00523F67" w:rsidP="001A2F20">
      <w:pPr>
        <w:rPr>
          <w:sz w:val="24"/>
          <w:szCs w:val="24"/>
        </w:rPr>
      </w:pPr>
      <w:r w:rsidRPr="00A65520">
        <w:rPr>
          <w:sz w:val="24"/>
          <w:szCs w:val="24"/>
        </w:rPr>
        <w:t>The principal income risk remains the difficulties in increasing planned care productivity and capacity to meet demand.</w:t>
      </w:r>
    </w:p>
    <w:p w:rsidR="00523F67" w:rsidRPr="002E6961" w:rsidRDefault="00523F67" w:rsidP="001A2F20">
      <w:pPr>
        <w:rPr>
          <w:color w:val="FF0000"/>
          <w:sz w:val="24"/>
          <w:szCs w:val="24"/>
        </w:rPr>
      </w:pPr>
    </w:p>
    <w:p w:rsidR="00487851" w:rsidRDefault="00523F67" w:rsidP="001A2F20">
      <w:pPr>
        <w:rPr>
          <w:sz w:val="24"/>
          <w:szCs w:val="24"/>
        </w:rPr>
      </w:pPr>
      <w:r w:rsidRPr="00D456F3">
        <w:rPr>
          <w:sz w:val="24"/>
          <w:szCs w:val="24"/>
        </w:rPr>
        <w:t>The contract inco</w:t>
      </w:r>
      <w:r w:rsidR="00D456F3" w:rsidRPr="00D456F3">
        <w:rPr>
          <w:sz w:val="24"/>
          <w:szCs w:val="24"/>
        </w:rPr>
        <w:t xml:space="preserve">me shortfall against plan </w:t>
      </w:r>
      <w:r w:rsidR="00A65520">
        <w:rPr>
          <w:sz w:val="24"/>
          <w:szCs w:val="24"/>
        </w:rPr>
        <w:t xml:space="preserve">to date </w:t>
      </w:r>
      <w:r w:rsidR="00D456F3" w:rsidRPr="00D456F3">
        <w:rPr>
          <w:sz w:val="24"/>
          <w:szCs w:val="24"/>
        </w:rPr>
        <w:t>was £</w:t>
      </w:r>
      <w:r w:rsidR="00D456F3">
        <w:rPr>
          <w:sz w:val="24"/>
          <w:szCs w:val="24"/>
        </w:rPr>
        <w:t>0</w:t>
      </w:r>
      <w:r w:rsidR="00D456F3" w:rsidRPr="00D456F3">
        <w:rPr>
          <w:sz w:val="24"/>
          <w:szCs w:val="24"/>
        </w:rPr>
        <w:t>.9</w:t>
      </w:r>
      <w:r w:rsidR="00D456F3">
        <w:rPr>
          <w:sz w:val="24"/>
          <w:szCs w:val="24"/>
        </w:rPr>
        <w:t>3</w:t>
      </w:r>
      <w:r w:rsidR="00D456F3" w:rsidRPr="00D456F3">
        <w:rPr>
          <w:sz w:val="24"/>
          <w:szCs w:val="24"/>
        </w:rPr>
        <w:t>m</w:t>
      </w:r>
      <w:r w:rsidR="00A65520">
        <w:rPr>
          <w:sz w:val="24"/>
          <w:szCs w:val="24"/>
        </w:rPr>
        <w:t xml:space="preserve"> (exl PSF)</w:t>
      </w:r>
      <w:r w:rsidR="00D456F3" w:rsidRPr="00D456F3">
        <w:rPr>
          <w:sz w:val="24"/>
          <w:szCs w:val="24"/>
        </w:rPr>
        <w:t>, partly offset by £0.</w:t>
      </w:r>
      <w:r w:rsidRPr="00D456F3">
        <w:rPr>
          <w:sz w:val="24"/>
          <w:szCs w:val="24"/>
        </w:rPr>
        <w:t>1</w:t>
      </w:r>
      <w:r w:rsidR="00D456F3" w:rsidRPr="00D456F3">
        <w:rPr>
          <w:sz w:val="24"/>
          <w:szCs w:val="24"/>
        </w:rPr>
        <w:t>3</w:t>
      </w:r>
      <w:r w:rsidRPr="00D456F3">
        <w:rPr>
          <w:sz w:val="24"/>
          <w:szCs w:val="24"/>
        </w:rPr>
        <w:t>m of other non NHS clinical income (Injury Recovery Scheme income).</w:t>
      </w:r>
    </w:p>
    <w:p w:rsidR="00A65520" w:rsidRPr="00D456F3" w:rsidRDefault="00A65520" w:rsidP="001A2F20">
      <w:pPr>
        <w:rPr>
          <w:sz w:val="24"/>
          <w:szCs w:val="24"/>
        </w:rPr>
      </w:pPr>
    </w:p>
    <w:p w:rsidR="00523F67" w:rsidRPr="000C3FD0" w:rsidRDefault="000C3FD0" w:rsidP="001A2F20">
      <w:pPr>
        <w:rPr>
          <w:sz w:val="24"/>
          <w:szCs w:val="24"/>
        </w:rPr>
      </w:pPr>
      <w:r w:rsidRPr="000C3FD0">
        <w:rPr>
          <w:sz w:val="24"/>
          <w:szCs w:val="24"/>
        </w:rPr>
        <w:t xml:space="preserve">The current </w:t>
      </w:r>
      <w:r w:rsidR="00A65520" w:rsidRPr="000C3FD0">
        <w:rPr>
          <w:sz w:val="24"/>
          <w:szCs w:val="24"/>
        </w:rPr>
        <w:t>Commissioner</w:t>
      </w:r>
      <w:r w:rsidRPr="000C3FD0">
        <w:rPr>
          <w:sz w:val="24"/>
          <w:szCs w:val="24"/>
        </w:rPr>
        <w:t xml:space="preserve"> position against plan is as follows:</w:t>
      </w:r>
    </w:p>
    <w:p w:rsidR="00AD48D6" w:rsidRDefault="00AD48D6" w:rsidP="003944A4">
      <w:pPr>
        <w:spacing w:line="276" w:lineRule="auto"/>
        <w:rPr>
          <w:color w:val="FF0000"/>
          <w:sz w:val="24"/>
          <w:szCs w:val="24"/>
        </w:rPr>
      </w:pPr>
    </w:p>
    <w:tbl>
      <w:tblPr>
        <w:tblW w:w="4572" w:type="pct"/>
        <w:jc w:val="center"/>
        <w:tblCellMar>
          <w:left w:w="0" w:type="dxa"/>
          <w:right w:w="0" w:type="dxa"/>
        </w:tblCellMar>
        <w:tblLook w:val="0600" w:firstRow="0" w:lastRow="0" w:firstColumn="0" w:lastColumn="0" w:noHBand="1" w:noVBand="1"/>
      </w:tblPr>
      <w:tblGrid>
        <w:gridCol w:w="4535"/>
        <w:gridCol w:w="1702"/>
        <w:gridCol w:w="1700"/>
        <w:gridCol w:w="1647"/>
      </w:tblGrid>
      <w:tr w:rsidR="00487851" w:rsidRPr="002E6961" w:rsidTr="00487851">
        <w:trPr>
          <w:trHeight w:val="629"/>
          <w:jc w:val="center"/>
        </w:trPr>
        <w:tc>
          <w:tcPr>
            <w:tcW w:w="2366" w:type="pct"/>
            <w:tcBorders>
              <w:top w:val="single" w:sz="8" w:space="0" w:color="000000"/>
              <w:left w:val="single" w:sz="8" w:space="0" w:color="000000"/>
              <w:bottom w:val="single" w:sz="8" w:space="0" w:color="000000"/>
              <w:right w:val="single" w:sz="4" w:space="0" w:color="000000"/>
            </w:tcBorders>
            <w:shd w:val="clear" w:color="auto" w:fill="FFFFFF"/>
            <w:tcMar>
              <w:top w:w="10" w:type="dxa"/>
              <w:left w:w="10" w:type="dxa"/>
              <w:bottom w:w="0" w:type="dxa"/>
              <w:right w:w="10" w:type="dxa"/>
            </w:tcMar>
            <w:vAlign w:val="center"/>
            <w:hideMark/>
          </w:tcPr>
          <w:p w:rsidR="00487851" w:rsidRPr="00665708" w:rsidRDefault="00487851" w:rsidP="00487851">
            <w:pPr>
              <w:jc w:val="center"/>
              <w:textAlignment w:val="center"/>
              <w:rPr>
                <w:rFonts w:eastAsia="Times New Roman" w:cs="Arial"/>
                <w:sz w:val="24"/>
                <w:szCs w:val="24"/>
                <w:lang w:eastAsia="en-GB"/>
              </w:rPr>
            </w:pPr>
            <w:r>
              <w:rPr>
                <w:rFonts w:eastAsia="Times New Roman" w:cs="Arial"/>
                <w:b/>
                <w:bCs/>
                <w:kern w:val="24"/>
                <w:sz w:val="24"/>
                <w:szCs w:val="24"/>
                <w:lang w:eastAsia="en-GB"/>
              </w:rPr>
              <w:t>Commissioner</w:t>
            </w:r>
          </w:p>
        </w:tc>
        <w:tc>
          <w:tcPr>
            <w:tcW w:w="888" w:type="pct"/>
            <w:tcBorders>
              <w:top w:val="single" w:sz="8" w:space="0" w:color="000000"/>
              <w:left w:val="single" w:sz="4" w:space="0" w:color="000000"/>
              <w:bottom w:val="single" w:sz="8" w:space="0" w:color="000000"/>
              <w:right w:val="single" w:sz="4" w:space="0" w:color="000000"/>
            </w:tcBorders>
            <w:shd w:val="clear" w:color="auto" w:fill="FFFFFF"/>
            <w:tcMar>
              <w:top w:w="10" w:type="dxa"/>
              <w:left w:w="10" w:type="dxa"/>
              <w:bottom w:w="0" w:type="dxa"/>
              <w:right w:w="10" w:type="dxa"/>
            </w:tcMar>
            <w:vAlign w:val="center"/>
            <w:hideMark/>
          </w:tcPr>
          <w:p w:rsidR="00487851" w:rsidRPr="00665708" w:rsidRDefault="00487851" w:rsidP="00487851">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 xml:space="preserve"> YTD Plan</w:t>
            </w:r>
            <w:r>
              <w:rPr>
                <w:rFonts w:eastAsia="Times New Roman" w:cs="Arial"/>
                <w:b/>
                <w:bCs/>
                <w:kern w:val="24"/>
                <w:sz w:val="24"/>
                <w:szCs w:val="24"/>
                <w:lang w:eastAsia="en-GB"/>
              </w:rPr>
              <w:t xml:space="preserve"> £000’s</w:t>
            </w:r>
          </w:p>
        </w:tc>
        <w:tc>
          <w:tcPr>
            <w:tcW w:w="887" w:type="pct"/>
            <w:tcBorders>
              <w:top w:val="single" w:sz="8" w:space="0" w:color="000000"/>
              <w:left w:val="single" w:sz="4" w:space="0" w:color="000000"/>
              <w:bottom w:val="single" w:sz="8" w:space="0" w:color="000000"/>
              <w:right w:val="single" w:sz="8" w:space="0" w:color="000000"/>
            </w:tcBorders>
            <w:shd w:val="clear" w:color="auto" w:fill="FFFFFF"/>
            <w:tcMar>
              <w:top w:w="10" w:type="dxa"/>
              <w:left w:w="10" w:type="dxa"/>
              <w:bottom w:w="0" w:type="dxa"/>
              <w:right w:w="10" w:type="dxa"/>
            </w:tcMar>
            <w:vAlign w:val="center"/>
          </w:tcPr>
          <w:p w:rsidR="00487851" w:rsidRPr="00665708" w:rsidRDefault="00487851" w:rsidP="00487851">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 xml:space="preserve">YTD </w:t>
            </w:r>
            <w:r>
              <w:rPr>
                <w:rFonts w:eastAsia="Times New Roman" w:cs="Arial"/>
                <w:b/>
                <w:bCs/>
                <w:kern w:val="24"/>
                <w:sz w:val="24"/>
                <w:szCs w:val="24"/>
                <w:lang w:eastAsia="en-GB"/>
              </w:rPr>
              <w:t>Actual £000’s</w:t>
            </w:r>
          </w:p>
        </w:tc>
        <w:tc>
          <w:tcPr>
            <w:tcW w:w="859" w:type="pct"/>
            <w:tcBorders>
              <w:top w:val="single" w:sz="8" w:space="0" w:color="000000"/>
              <w:left w:val="single" w:sz="4" w:space="0" w:color="000000"/>
              <w:bottom w:val="single" w:sz="8" w:space="0" w:color="000000"/>
              <w:right w:val="single" w:sz="4" w:space="0" w:color="000000"/>
            </w:tcBorders>
            <w:shd w:val="clear" w:color="auto" w:fill="FFFFFF"/>
            <w:vAlign w:val="center"/>
          </w:tcPr>
          <w:p w:rsidR="00487851" w:rsidRPr="00665708" w:rsidRDefault="00487851" w:rsidP="00487851">
            <w:pPr>
              <w:jc w:val="center"/>
              <w:textAlignment w:val="center"/>
              <w:rPr>
                <w:rFonts w:eastAsia="Times New Roman" w:cs="Arial"/>
                <w:sz w:val="24"/>
                <w:szCs w:val="24"/>
                <w:lang w:eastAsia="en-GB"/>
              </w:rPr>
            </w:pPr>
            <w:r w:rsidRPr="00665708">
              <w:rPr>
                <w:rFonts w:eastAsia="Times New Roman" w:cs="Arial"/>
                <w:b/>
                <w:bCs/>
                <w:kern w:val="24"/>
                <w:sz w:val="24"/>
                <w:szCs w:val="24"/>
                <w:lang w:eastAsia="en-GB"/>
              </w:rPr>
              <w:t xml:space="preserve">YTD </w:t>
            </w:r>
            <w:r>
              <w:rPr>
                <w:rFonts w:eastAsia="Times New Roman" w:cs="Arial"/>
                <w:b/>
                <w:bCs/>
                <w:kern w:val="24"/>
                <w:sz w:val="24"/>
                <w:szCs w:val="24"/>
                <w:lang w:eastAsia="en-GB"/>
              </w:rPr>
              <w:t>Variance £000’s</w:t>
            </w:r>
          </w:p>
        </w:tc>
      </w:tr>
      <w:tr w:rsidR="00487851" w:rsidRPr="002E6961" w:rsidTr="00487851">
        <w:trPr>
          <w:trHeight w:val="340"/>
          <w:jc w:val="center"/>
        </w:trPr>
        <w:tc>
          <w:tcPr>
            <w:tcW w:w="2366" w:type="pct"/>
            <w:tcBorders>
              <w:top w:val="single" w:sz="8" w:space="0" w:color="000000"/>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NHS North East Lincolnshire</w:t>
            </w:r>
          </w:p>
        </w:tc>
        <w:tc>
          <w:tcPr>
            <w:tcW w:w="888" w:type="pct"/>
            <w:tcBorders>
              <w:top w:val="single" w:sz="8" w:space="0" w:color="000000"/>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34,453</w:t>
            </w:r>
          </w:p>
        </w:tc>
        <w:tc>
          <w:tcPr>
            <w:tcW w:w="887" w:type="pct"/>
            <w:tcBorders>
              <w:top w:val="single" w:sz="8" w:space="0" w:color="000000"/>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35,045</w:t>
            </w:r>
          </w:p>
        </w:tc>
        <w:tc>
          <w:tcPr>
            <w:tcW w:w="859" w:type="pct"/>
            <w:tcBorders>
              <w:top w:val="single" w:sz="8" w:space="0" w:color="000000"/>
              <w:left w:val="single" w:sz="4" w:space="0" w:color="000000"/>
              <w:bottom w:val="nil"/>
              <w:right w:val="single" w:sz="4" w:space="0" w:color="000000"/>
            </w:tcBorders>
            <w:shd w:val="clear" w:color="auto" w:fill="FFFFFF"/>
            <w:vAlign w:val="center"/>
          </w:tcPr>
          <w:p w:rsidR="00487851" w:rsidRPr="00A0750A" w:rsidRDefault="00487851" w:rsidP="00487851">
            <w:pPr>
              <w:jc w:val="right"/>
            </w:pPr>
            <w:r w:rsidRPr="00A0750A">
              <w:t>592</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NHS North Lincolnshire</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36,752</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36,700</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(52)</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NHS East Riding of Yorkshire</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5,658</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5,332</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(326)</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NHS Lincolnshire (Various)</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14,784</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15,235</w:t>
            </w:r>
          </w:p>
        </w:tc>
        <w:tc>
          <w:tcPr>
            <w:tcW w:w="859" w:type="pct"/>
            <w:tcBorders>
              <w:top w:val="nil"/>
              <w:left w:val="single" w:sz="4" w:space="0" w:color="000000"/>
              <w:bottom w:val="nil"/>
              <w:right w:val="single" w:sz="4" w:space="0" w:color="000000"/>
            </w:tcBorders>
            <w:shd w:val="clear" w:color="auto" w:fill="FFFFFF"/>
            <w:vAlign w:val="center"/>
          </w:tcPr>
          <w:p w:rsidR="00487851" w:rsidRPr="00A0750A" w:rsidRDefault="00487851" w:rsidP="00487851">
            <w:pPr>
              <w:jc w:val="right"/>
            </w:pPr>
            <w:r w:rsidRPr="00A0750A">
              <w:t>451</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NHS England - Specialist</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7,626</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6,861</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(765)</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Other Contracted CCGs</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473</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400</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(73)</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Non Contract Activity</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732</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592</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(140)</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Other Healthcare Contracts</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845</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914</w:t>
            </w:r>
          </w:p>
        </w:tc>
        <w:tc>
          <w:tcPr>
            <w:tcW w:w="859" w:type="pct"/>
            <w:tcBorders>
              <w:top w:val="nil"/>
              <w:left w:val="single" w:sz="4" w:space="0" w:color="000000"/>
              <w:bottom w:val="nil"/>
              <w:right w:val="single" w:sz="4" w:space="0" w:color="000000"/>
            </w:tcBorders>
            <w:shd w:val="clear" w:color="auto" w:fill="FFFFFF"/>
            <w:vAlign w:val="center"/>
          </w:tcPr>
          <w:p w:rsidR="00487851" w:rsidRPr="00A0750A" w:rsidRDefault="00487851" w:rsidP="00487851">
            <w:pPr>
              <w:jc w:val="right"/>
            </w:pPr>
            <w:r w:rsidRPr="00A0750A">
              <w:t>69</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Cancer Drugs Fund</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479</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617</w:t>
            </w:r>
          </w:p>
        </w:tc>
        <w:tc>
          <w:tcPr>
            <w:tcW w:w="859" w:type="pct"/>
            <w:tcBorders>
              <w:top w:val="nil"/>
              <w:left w:val="single" w:sz="4" w:space="0" w:color="000000"/>
              <w:bottom w:val="nil"/>
              <w:right w:val="single" w:sz="4" w:space="0" w:color="000000"/>
            </w:tcBorders>
            <w:shd w:val="clear" w:color="auto" w:fill="FFFFFF"/>
            <w:vAlign w:val="center"/>
          </w:tcPr>
          <w:p w:rsidR="00487851" w:rsidRPr="00A0750A" w:rsidRDefault="00487851" w:rsidP="00487851">
            <w:pPr>
              <w:jc w:val="right"/>
            </w:pPr>
            <w:r w:rsidRPr="00A0750A">
              <w:t>138</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NRCG</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729</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569</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(160)</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Additional Capacity Funding Request</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1,235</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0</w:t>
            </w:r>
          </w:p>
        </w:tc>
        <w:tc>
          <w:tcPr>
            <w:tcW w:w="859" w:type="pct"/>
            <w:tcBorders>
              <w:top w:val="nil"/>
              <w:left w:val="single" w:sz="4" w:space="0" w:color="000000"/>
              <w:bottom w:val="nil"/>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(1,235)</w:t>
            </w:r>
          </w:p>
        </w:tc>
      </w:tr>
      <w:tr w:rsidR="00487851" w:rsidRPr="002E6961" w:rsidTr="00487851">
        <w:trPr>
          <w:trHeight w:val="340"/>
          <w:jc w:val="center"/>
        </w:trPr>
        <w:tc>
          <w:tcPr>
            <w:tcW w:w="2366" w:type="pct"/>
            <w:tcBorders>
              <w:top w:val="nil"/>
              <w:left w:val="single" w:sz="8"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AfC Pay Award Funding</w:t>
            </w:r>
          </w:p>
        </w:tc>
        <w:tc>
          <w:tcPr>
            <w:tcW w:w="888" w:type="pct"/>
            <w:tcBorders>
              <w:top w:val="nil"/>
              <w:left w:val="single" w:sz="4" w:space="0" w:color="000000"/>
              <w:bottom w:val="nil"/>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333</w:t>
            </w:r>
          </w:p>
        </w:tc>
        <w:tc>
          <w:tcPr>
            <w:tcW w:w="887" w:type="pct"/>
            <w:tcBorders>
              <w:top w:val="nil"/>
              <w:left w:val="single" w:sz="4" w:space="0" w:color="000000"/>
              <w:bottom w:val="nil"/>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334</w:t>
            </w:r>
          </w:p>
        </w:tc>
        <w:tc>
          <w:tcPr>
            <w:tcW w:w="859" w:type="pct"/>
            <w:tcBorders>
              <w:top w:val="nil"/>
              <w:left w:val="single" w:sz="4" w:space="0" w:color="000000"/>
              <w:bottom w:val="nil"/>
              <w:right w:val="single" w:sz="4" w:space="0" w:color="000000"/>
            </w:tcBorders>
            <w:shd w:val="clear" w:color="auto" w:fill="FFFFFF"/>
            <w:vAlign w:val="center"/>
          </w:tcPr>
          <w:p w:rsidR="00487851" w:rsidRPr="00A0750A" w:rsidRDefault="00487851" w:rsidP="00487851">
            <w:pPr>
              <w:jc w:val="right"/>
            </w:pPr>
            <w:r w:rsidRPr="00A0750A">
              <w:t>1</w:t>
            </w:r>
          </w:p>
        </w:tc>
      </w:tr>
      <w:tr w:rsidR="00487851" w:rsidRPr="00487851" w:rsidTr="00487851">
        <w:trPr>
          <w:trHeight w:val="340"/>
          <w:jc w:val="center"/>
        </w:trPr>
        <w:tc>
          <w:tcPr>
            <w:tcW w:w="2366" w:type="pct"/>
            <w:tcBorders>
              <w:top w:val="nil"/>
              <w:left w:val="single" w:sz="8" w:space="0" w:color="000000"/>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PSF</w:t>
            </w:r>
          </w:p>
        </w:tc>
        <w:tc>
          <w:tcPr>
            <w:tcW w:w="888" w:type="pct"/>
            <w:tcBorders>
              <w:top w:val="nil"/>
              <w:left w:val="single" w:sz="4" w:space="0" w:color="000000"/>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1,560</w:t>
            </w:r>
          </w:p>
        </w:tc>
        <w:tc>
          <w:tcPr>
            <w:tcW w:w="887" w:type="pct"/>
            <w:tcBorders>
              <w:top w:val="nil"/>
              <w:left w:val="single" w:sz="4" w:space="0" w:color="000000"/>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0</w:t>
            </w:r>
          </w:p>
        </w:tc>
        <w:tc>
          <w:tcPr>
            <w:tcW w:w="859" w:type="pct"/>
            <w:tcBorders>
              <w:top w:val="nil"/>
              <w:left w:val="single" w:sz="4" w:space="0" w:color="000000"/>
              <w:right w:val="single" w:sz="4" w:space="0" w:color="000000"/>
            </w:tcBorders>
            <w:shd w:val="clear" w:color="auto" w:fill="FFFFFF"/>
            <w:vAlign w:val="center"/>
          </w:tcPr>
          <w:p w:rsidR="00487851" w:rsidRPr="00487851" w:rsidRDefault="00487851" w:rsidP="00487851">
            <w:pPr>
              <w:jc w:val="right"/>
              <w:rPr>
                <w:color w:val="FF0000"/>
              </w:rPr>
            </w:pPr>
            <w:r w:rsidRPr="00487851">
              <w:rPr>
                <w:color w:val="FF0000"/>
              </w:rPr>
              <w:t>(1,560)</w:t>
            </w:r>
          </w:p>
        </w:tc>
      </w:tr>
      <w:tr w:rsidR="00487851" w:rsidRPr="002E6961" w:rsidTr="00487851">
        <w:trPr>
          <w:trHeight w:val="340"/>
          <w:jc w:val="center"/>
        </w:trPr>
        <w:tc>
          <w:tcPr>
            <w:tcW w:w="2366" w:type="pct"/>
            <w:tcBorders>
              <w:top w:val="nil"/>
              <w:left w:val="single" w:sz="8" w:space="0" w:color="000000"/>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left"/>
            </w:pPr>
            <w:r w:rsidRPr="00A0750A">
              <w:t>Unallocated Technical Adjustments</w:t>
            </w:r>
          </w:p>
        </w:tc>
        <w:tc>
          <w:tcPr>
            <w:tcW w:w="888" w:type="pct"/>
            <w:tcBorders>
              <w:top w:val="nil"/>
              <w:left w:val="single" w:sz="4" w:space="0" w:color="000000"/>
              <w:right w:val="single" w:sz="4"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0</w:t>
            </w:r>
          </w:p>
        </w:tc>
        <w:tc>
          <w:tcPr>
            <w:tcW w:w="887" w:type="pct"/>
            <w:tcBorders>
              <w:top w:val="nil"/>
              <w:left w:val="single" w:sz="4" w:space="0" w:color="000000"/>
              <w:right w:val="single" w:sz="8" w:space="0" w:color="000000"/>
            </w:tcBorders>
            <w:shd w:val="clear" w:color="auto" w:fill="FFFFFF"/>
            <w:tcMar>
              <w:top w:w="10" w:type="dxa"/>
              <w:left w:w="10" w:type="dxa"/>
              <w:bottom w:w="0" w:type="dxa"/>
              <w:right w:w="10" w:type="dxa"/>
            </w:tcMar>
            <w:vAlign w:val="center"/>
          </w:tcPr>
          <w:p w:rsidR="00487851" w:rsidRPr="00A0750A" w:rsidRDefault="00487851" w:rsidP="00487851">
            <w:pPr>
              <w:jc w:val="right"/>
            </w:pPr>
            <w:r w:rsidRPr="00A0750A">
              <w:t>564</w:t>
            </w:r>
          </w:p>
        </w:tc>
        <w:tc>
          <w:tcPr>
            <w:tcW w:w="859" w:type="pct"/>
            <w:tcBorders>
              <w:top w:val="nil"/>
              <w:left w:val="single" w:sz="4" w:space="0" w:color="000000"/>
              <w:right w:val="single" w:sz="4" w:space="0" w:color="000000"/>
            </w:tcBorders>
            <w:shd w:val="clear" w:color="auto" w:fill="FFFFFF"/>
            <w:vAlign w:val="center"/>
          </w:tcPr>
          <w:p w:rsidR="00487851" w:rsidRPr="00A0750A" w:rsidRDefault="00487851" w:rsidP="00487851">
            <w:pPr>
              <w:jc w:val="right"/>
            </w:pPr>
            <w:r w:rsidRPr="00A0750A">
              <w:t>564</w:t>
            </w:r>
          </w:p>
        </w:tc>
      </w:tr>
      <w:tr w:rsidR="00487851" w:rsidRPr="00487851" w:rsidTr="00487851">
        <w:trPr>
          <w:trHeight w:val="452"/>
          <w:jc w:val="center"/>
        </w:trPr>
        <w:tc>
          <w:tcPr>
            <w:tcW w:w="2366" w:type="pct"/>
            <w:tcBorders>
              <w:top w:val="single" w:sz="4" w:space="0" w:color="auto"/>
              <w:left w:val="single" w:sz="8" w:space="0" w:color="000000"/>
              <w:bottom w:val="single" w:sz="4" w:space="0" w:color="auto"/>
              <w:right w:val="single" w:sz="4" w:space="0" w:color="000000"/>
            </w:tcBorders>
            <w:shd w:val="clear" w:color="auto" w:fill="FFFFFF"/>
            <w:tcMar>
              <w:top w:w="10" w:type="dxa"/>
              <w:left w:w="10" w:type="dxa"/>
              <w:bottom w:w="0" w:type="dxa"/>
              <w:right w:w="10" w:type="dxa"/>
            </w:tcMar>
            <w:vAlign w:val="center"/>
          </w:tcPr>
          <w:p w:rsidR="00487851" w:rsidRPr="00487851" w:rsidRDefault="00487851" w:rsidP="00497CEF">
            <w:pPr>
              <w:jc w:val="left"/>
              <w:textAlignment w:val="bottom"/>
              <w:rPr>
                <w:rFonts w:eastAsia="Times New Roman" w:cs="Arial"/>
                <w:b/>
                <w:kern w:val="24"/>
                <w:lang w:eastAsia="en-GB"/>
              </w:rPr>
            </w:pPr>
            <w:r w:rsidRPr="00487851">
              <w:rPr>
                <w:rFonts w:eastAsia="Times New Roman" w:cs="Arial"/>
                <w:b/>
                <w:kern w:val="24"/>
                <w:lang w:eastAsia="en-GB"/>
              </w:rPr>
              <w:t>TOTAL</w:t>
            </w:r>
          </w:p>
        </w:tc>
        <w:tc>
          <w:tcPr>
            <w:tcW w:w="888" w:type="pct"/>
            <w:tcBorders>
              <w:top w:val="single" w:sz="4" w:space="0" w:color="auto"/>
              <w:left w:val="single" w:sz="4" w:space="0" w:color="000000"/>
              <w:bottom w:val="single" w:sz="4" w:space="0" w:color="auto"/>
              <w:right w:val="single" w:sz="4" w:space="0" w:color="000000"/>
            </w:tcBorders>
            <w:shd w:val="clear" w:color="auto" w:fill="FFFFFF"/>
            <w:tcMar>
              <w:top w:w="10" w:type="dxa"/>
              <w:left w:w="10" w:type="dxa"/>
              <w:bottom w:w="0" w:type="dxa"/>
              <w:right w:w="10" w:type="dxa"/>
            </w:tcMar>
            <w:vAlign w:val="center"/>
          </w:tcPr>
          <w:p w:rsidR="00487851" w:rsidRPr="00487851" w:rsidRDefault="00487851" w:rsidP="00497CEF">
            <w:pPr>
              <w:jc w:val="right"/>
              <w:textAlignment w:val="bottom"/>
              <w:rPr>
                <w:rFonts w:eastAsia="Times New Roman" w:cs="Arial"/>
                <w:b/>
                <w:lang w:eastAsia="en-GB"/>
              </w:rPr>
            </w:pPr>
            <w:r>
              <w:rPr>
                <w:rFonts w:eastAsia="Times New Roman" w:cs="Arial"/>
                <w:b/>
                <w:lang w:eastAsia="en-GB"/>
              </w:rPr>
              <w:t>105,659</w:t>
            </w:r>
          </w:p>
        </w:tc>
        <w:tc>
          <w:tcPr>
            <w:tcW w:w="887" w:type="pct"/>
            <w:tcBorders>
              <w:top w:val="single" w:sz="4" w:space="0" w:color="auto"/>
              <w:left w:val="single" w:sz="4" w:space="0" w:color="000000"/>
              <w:bottom w:val="single" w:sz="4" w:space="0" w:color="auto"/>
              <w:right w:val="single" w:sz="8" w:space="0" w:color="000000"/>
            </w:tcBorders>
            <w:shd w:val="clear" w:color="auto" w:fill="FFFFFF"/>
            <w:tcMar>
              <w:top w:w="10" w:type="dxa"/>
              <w:left w:w="10" w:type="dxa"/>
              <w:bottom w:w="0" w:type="dxa"/>
              <w:right w:w="10" w:type="dxa"/>
            </w:tcMar>
            <w:vAlign w:val="center"/>
          </w:tcPr>
          <w:p w:rsidR="00487851" w:rsidRPr="00487851" w:rsidRDefault="00487851" w:rsidP="00497CEF">
            <w:pPr>
              <w:jc w:val="right"/>
              <w:textAlignment w:val="bottom"/>
              <w:rPr>
                <w:rFonts w:eastAsia="Times New Roman" w:cs="Arial"/>
                <w:b/>
                <w:lang w:eastAsia="en-GB"/>
              </w:rPr>
            </w:pPr>
            <w:r>
              <w:rPr>
                <w:rFonts w:eastAsia="Times New Roman" w:cs="Arial"/>
                <w:b/>
                <w:lang w:eastAsia="en-GB"/>
              </w:rPr>
              <w:t>103,163</w:t>
            </w:r>
          </w:p>
        </w:tc>
        <w:tc>
          <w:tcPr>
            <w:tcW w:w="859" w:type="pct"/>
            <w:tcBorders>
              <w:top w:val="single" w:sz="4" w:space="0" w:color="auto"/>
              <w:left w:val="single" w:sz="4" w:space="0" w:color="000000"/>
              <w:bottom w:val="single" w:sz="4" w:space="0" w:color="auto"/>
              <w:right w:val="single" w:sz="4" w:space="0" w:color="000000"/>
            </w:tcBorders>
            <w:shd w:val="clear" w:color="auto" w:fill="FFFFFF"/>
            <w:vAlign w:val="center"/>
          </w:tcPr>
          <w:p w:rsidR="00487851" w:rsidRPr="00487851" w:rsidRDefault="00487851" w:rsidP="00497CEF">
            <w:pPr>
              <w:jc w:val="right"/>
              <w:textAlignment w:val="bottom"/>
              <w:rPr>
                <w:rFonts w:eastAsia="Times New Roman" w:cs="Arial"/>
                <w:b/>
                <w:color w:val="FF0000"/>
                <w:lang w:eastAsia="en-GB"/>
              </w:rPr>
            </w:pPr>
            <w:r w:rsidRPr="00487851">
              <w:rPr>
                <w:rFonts w:eastAsia="Times New Roman" w:cs="Arial"/>
                <w:b/>
                <w:color w:val="FF0000"/>
                <w:lang w:eastAsia="en-GB"/>
              </w:rPr>
              <w:t>(2,496)</w:t>
            </w:r>
          </w:p>
        </w:tc>
      </w:tr>
    </w:tbl>
    <w:p w:rsidR="00AD48D6" w:rsidRDefault="00AD48D6" w:rsidP="003944A4">
      <w:pPr>
        <w:spacing w:line="276" w:lineRule="auto"/>
        <w:rPr>
          <w:color w:val="FF0000"/>
          <w:sz w:val="24"/>
          <w:szCs w:val="24"/>
        </w:rPr>
      </w:pPr>
    </w:p>
    <w:p w:rsidR="000C3FD0" w:rsidRDefault="000C3FD0" w:rsidP="001A2F20">
      <w:pPr>
        <w:rPr>
          <w:sz w:val="24"/>
          <w:szCs w:val="24"/>
        </w:rPr>
      </w:pPr>
      <w:r w:rsidRPr="000C3FD0">
        <w:rPr>
          <w:sz w:val="24"/>
          <w:szCs w:val="24"/>
        </w:rPr>
        <w:t>The Trust</w:t>
      </w:r>
      <w:r w:rsidR="00A65520">
        <w:rPr>
          <w:sz w:val="24"/>
          <w:szCs w:val="24"/>
        </w:rPr>
        <w:t>s</w:t>
      </w:r>
      <w:r w:rsidRPr="000C3FD0">
        <w:rPr>
          <w:sz w:val="24"/>
          <w:szCs w:val="24"/>
        </w:rPr>
        <w:t xml:space="preserve"> revised plan submission in June included the receipt of additional Capacity funding</w:t>
      </w:r>
      <w:r w:rsidR="00A65520">
        <w:rPr>
          <w:sz w:val="24"/>
          <w:szCs w:val="24"/>
        </w:rPr>
        <w:t xml:space="preserve"> to go further than planning guidance on Waiting List reduction</w:t>
      </w:r>
      <w:r w:rsidRPr="000C3FD0">
        <w:rPr>
          <w:sz w:val="24"/>
          <w:szCs w:val="24"/>
        </w:rPr>
        <w:t>. At this point this is still unconfirmed and is the material variance to plan.</w:t>
      </w:r>
    </w:p>
    <w:p w:rsidR="001A2F20" w:rsidRDefault="001A2F20">
      <w:pPr>
        <w:spacing w:after="200" w:line="276" w:lineRule="auto"/>
        <w:jc w:val="left"/>
        <w:rPr>
          <w:sz w:val="24"/>
          <w:szCs w:val="24"/>
        </w:rPr>
      </w:pPr>
      <w:r>
        <w:rPr>
          <w:sz w:val="24"/>
          <w:szCs w:val="24"/>
        </w:rPr>
        <w:br w:type="page"/>
      </w:r>
    </w:p>
    <w:p w:rsidR="00306021" w:rsidRPr="00487851" w:rsidRDefault="00523F67" w:rsidP="003944A4">
      <w:pPr>
        <w:spacing w:line="276" w:lineRule="auto"/>
        <w:rPr>
          <w:b/>
          <w:sz w:val="24"/>
          <w:szCs w:val="24"/>
        </w:rPr>
      </w:pPr>
      <w:r w:rsidRPr="00487851">
        <w:rPr>
          <w:b/>
          <w:sz w:val="24"/>
          <w:szCs w:val="24"/>
        </w:rPr>
        <w:lastRenderedPageBreak/>
        <w:t>Provider Sustainability Fund (PSF):</w:t>
      </w:r>
    </w:p>
    <w:p w:rsidR="00523F67" w:rsidRPr="00487851" w:rsidRDefault="00523F67" w:rsidP="003944A4">
      <w:pPr>
        <w:spacing w:line="276" w:lineRule="auto"/>
        <w:rPr>
          <w:sz w:val="24"/>
          <w:szCs w:val="24"/>
        </w:rPr>
      </w:pPr>
    </w:p>
    <w:p w:rsidR="00523F67" w:rsidRPr="00487851" w:rsidRDefault="00523F67" w:rsidP="001A2F20">
      <w:pPr>
        <w:rPr>
          <w:sz w:val="24"/>
          <w:szCs w:val="24"/>
        </w:rPr>
      </w:pPr>
      <w:r w:rsidRPr="00487851">
        <w:rPr>
          <w:sz w:val="24"/>
          <w:szCs w:val="24"/>
        </w:rPr>
        <w:t xml:space="preserve">Having agreed to the revised control total, NLAG is now eligible to earn PSF income – with a full year allocation of £7.2m. However, with the financial position adrift of plan, and A&amp;E delivery </w:t>
      </w:r>
      <w:r w:rsidR="00D456F3">
        <w:rPr>
          <w:sz w:val="24"/>
          <w:szCs w:val="24"/>
        </w:rPr>
        <w:t xml:space="preserve">only </w:t>
      </w:r>
      <w:r w:rsidRPr="00487851">
        <w:rPr>
          <w:sz w:val="24"/>
          <w:szCs w:val="24"/>
        </w:rPr>
        <w:t xml:space="preserve">slightly below the 90% target level, NLAG does not qualify to receive </w:t>
      </w:r>
      <w:r w:rsidR="00D456F3">
        <w:rPr>
          <w:sz w:val="24"/>
          <w:szCs w:val="24"/>
        </w:rPr>
        <w:t>PSF funding support</w:t>
      </w:r>
      <w:r w:rsidRPr="00487851">
        <w:rPr>
          <w:sz w:val="24"/>
          <w:szCs w:val="24"/>
        </w:rPr>
        <w:t>.</w:t>
      </w:r>
    </w:p>
    <w:p w:rsidR="00523F67" w:rsidRPr="00487851" w:rsidRDefault="00523F67" w:rsidP="001A2F20">
      <w:pPr>
        <w:rPr>
          <w:sz w:val="24"/>
          <w:szCs w:val="24"/>
        </w:rPr>
      </w:pPr>
    </w:p>
    <w:p w:rsidR="00306021" w:rsidRPr="00487851" w:rsidRDefault="009D3090" w:rsidP="001A2F20">
      <w:pPr>
        <w:rPr>
          <w:sz w:val="24"/>
          <w:szCs w:val="24"/>
        </w:rPr>
      </w:pPr>
      <w:r w:rsidRPr="00487851">
        <w:rPr>
          <w:sz w:val="24"/>
          <w:szCs w:val="24"/>
        </w:rPr>
        <w:t>The</w:t>
      </w:r>
      <w:r w:rsidR="00523F67" w:rsidRPr="00487851">
        <w:rPr>
          <w:sz w:val="24"/>
          <w:szCs w:val="24"/>
        </w:rPr>
        <w:t xml:space="preserve"> </w:t>
      </w:r>
      <w:r w:rsidR="00487851" w:rsidRPr="00487851">
        <w:rPr>
          <w:sz w:val="24"/>
          <w:szCs w:val="24"/>
        </w:rPr>
        <w:t xml:space="preserve">year to date variance </w:t>
      </w:r>
      <w:r w:rsidR="00523F67" w:rsidRPr="00487851">
        <w:rPr>
          <w:sz w:val="24"/>
          <w:szCs w:val="24"/>
        </w:rPr>
        <w:t>of the fund is £1.</w:t>
      </w:r>
      <w:r w:rsidR="00487851" w:rsidRPr="00487851">
        <w:rPr>
          <w:sz w:val="24"/>
          <w:szCs w:val="24"/>
        </w:rPr>
        <w:t>56</w:t>
      </w:r>
      <w:r w:rsidR="00523F67" w:rsidRPr="00487851">
        <w:rPr>
          <w:sz w:val="24"/>
          <w:szCs w:val="24"/>
        </w:rPr>
        <w:t>m.</w:t>
      </w:r>
    </w:p>
    <w:p w:rsidR="003C42B3" w:rsidRPr="002E6961" w:rsidRDefault="003C42B3" w:rsidP="004903D2">
      <w:pPr>
        <w:spacing w:after="200" w:line="276" w:lineRule="auto"/>
        <w:jc w:val="left"/>
        <w:rPr>
          <w:b/>
          <w:color w:val="FF0000"/>
          <w:sz w:val="24"/>
          <w:szCs w:val="24"/>
        </w:rPr>
      </w:pPr>
    </w:p>
    <w:p w:rsidR="004903D2" w:rsidRDefault="004903D2" w:rsidP="001A2F20">
      <w:pPr>
        <w:jc w:val="left"/>
        <w:rPr>
          <w:b/>
          <w:sz w:val="24"/>
          <w:szCs w:val="24"/>
        </w:rPr>
      </w:pPr>
      <w:r w:rsidRPr="00D456F3">
        <w:rPr>
          <w:b/>
          <w:sz w:val="24"/>
          <w:szCs w:val="24"/>
        </w:rPr>
        <w:t>Non Clinical Income:</w:t>
      </w:r>
    </w:p>
    <w:p w:rsidR="001A2F20" w:rsidRPr="00D456F3" w:rsidRDefault="001A2F20" w:rsidP="001A2F20">
      <w:pPr>
        <w:jc w:val="left"/>
        <w:rPr>
          <w:b/>
          <w:sz w:val="24"/>
          <w:szCs w:val="24"/>
        </w:rPr>
      </w:pPr>
    </w:p>
    <w:p w:rsidR="004903D2" w:rsidRPr="00D456F3" w:rsidRDefault="00523F67" w:rsidP="001A2F20">
      <w:pPr>
        <w:jc w:val="left"/>
        <w:rPr>
          <w:sz w:val="24"/>
          <w:szCs w:val="24"/>
        </w:rPr>
      </w:pPr>
      <w:r w:rsidRPr="00D456F3">
        <w:rPr>
          <w:sz w:val="24"/>
          <w:szCs w:val="24"/>
        </w:rPr>
        <w:t xml:space="preserve">The Trust has shortfalls on Non Clinical Contract Agreements (primarily </w:t>
      </w:r>
      <w:r w:rsidR="009D3090" w:rsidRPr="00D456F3">
        <w:rPr>
          <w:sz w:val="24"/>
          <w:szCs w:val="24"/>
        </w:rPr>
        <w:t>Pathlinks</w:t>
      </w:r>
      <w:r w:rsidR="00D456F3" w:rsidRPr="00D456F3">
        <w:rPr>
          <w:sz w:val="24"/>
          <w:szCs w:val="24"/>
        </w:rPr>
        <w:t xml:space="preserve"> related) of £0.26</w:t>
      </w:r>
      <w:r w:rsidRPr="00D456F3">
        <w:rPr>
          <w:sz w:val="24"/>
          <w:szCs w:val="24"/>
        </w:rPr>
        <w:t xml:space="preserve">m, car parking income shortfalls </w:t>
      </w:r>
      <w:r w:rsidR="00D456F3" w:rsidRPr="00D456F3">
        <w:rPr>
          <w:sz w:val="24"/>
          <w:szCs w:val="24"/>
        </w:rPr>
        <w:t xml:space="preserve">has seen some recovery but still stands adverse to plan </w:t>
      </w:r>
      <w:r w:rsidRPr="00D456F3">
        <w:rPr>
          <w:sz w:val="24"/>
          <w:szCs w:val="24"/>
        </w:rPr>
        <w:t>of £0.07m. Other variations</w:t>
      </w:r>
      <w:r w:rsidR="00D456F3" w:rsidRPr="00D456F3">
        <w:rPr>
          <w:sz w:val="24"/>
          <w:szCs w:val="24"/>
        </w:rPr>
        <w:t xml:space="preserve"> on income lines add up to £0.59</w:t>
      </w:r>
      <w:r w:rsidRPr="00D456F3">
        <w:rPr>
          <w:sz w:val="24"/>
          <w:szCs w:val="24"/>
        </w:rPr>
        <w:t xml:space="preserve">m </w:t>
      </w:r>
      <w:r w:rsidR="00D456F3" w:rsidRPr="00D456F3">
        <w:rPr>
          <w:sz w:val="24"/>
          <w:szCs w:val="24"/>
        </w:rPr>
        <w:t>ahead of plan.</w:t>
      </w:r>
    </w:p>
    <w:p w:rsidR="003C42B3" w:rsidRPr="00D456F3" w:rsidRDefault="003C42B3">
      <w:pPr>
        <w:spacing w:after="200" w:line="276" w:lineRule="auto"/>
        <w:jc w:val="left"/>
        <w:rPr>
          <w:b/>
          <w:sz w:val="24"/>
          <w:szCs w:val="24"/>
        </w:rPr>
      </w:pPr>
      <w:r w:rsidRPr="00D456F3">
        <w:rPr>
          <w:b/>
          <w:sz w:val="24"/>
          <w:szCs w:val="24"/>
        </w:rPr>
        <w:br w:type="page"/>
      </w:r>
    </w:p>
    <w:p w:rsidR="00CC7413" w:rsidRPr="00B16B87" w:rsidRDefault="00CC7413" w:rsidP="00CC7413">
      <w:pPr>
        <w:rPr>
          <w:b/>
          <w:color w:val="000000" w:themeColor="text1"/>
          <w:sz w:val="24"/>
          <w:szCs w:val="24"/>
        </w:rPr>
      </w:pPr>
      <w:r w:rsidRPr="00B16B87">
        <w:rPr>
          <w:b/>
          <w:color w:val="000000" w:themeColor="text1"/>
          <w:sz w:val="24"/>
          <w:szCs w:val="24"/>
        </w:rPr>
        <w:lastRenderedPageBreak/>
        <w:t>4.</w:t>
      </w:r>
      <w:r w:rsidRPr="00B16B87">
        <w:rPr>
          <w:b/>
          <w:color w:val="000000" w:themeColor="text1"/>
          <w:sz w:val="24"/>
          <w:szCs w:val="24"/>
        </w:rPr>
        <w:tab/>
        <w:t>Expenditure and Savings Plan Delivery:</w:t>
      </w:r>
    </w:p>
    <w:p w:rsidR="00CC7413" w:rsidRDefault="00CC7413" w:rsidP="00CC7413"/>
    <w:p w:rsidR="00181120" w:rsidRPr="00995406" w:rsidRDefault="00181120" w:rsidP="00181120">
      <w:pPr>
        <w:rPr>
          <w:b/>
          <w:sz w:val="24"/>
          <w:szCs w:val="24"/>
        </w:rPr>
      </w:pPr>
      <w:r w:rsidRPr="00995406">
        <w:rPr>
          <w:b/>
          <w:sz w:val="24"/>
          <w:szCs w:val="24"/>
        </w:rPr>
        <w:t>Total Operating Expenditure:</w:t>
      </w:r>
    </w:p>
    <w:p w:rsidR="00181120" w:rsidRPr="00250DE6" w:rsidRDefault="00181120" w:rsidP="00181120">
      <w:pPr>
        <w:rPr>
          <w:b/>
          <w:sz w:val="24"/>
          <w:szCs w:val="24"/>
        </w:rPr>
      </w:pPr>
    </w:p>
    <w:p w:rsidR="00181120" w:rsidRPr="00250DE6" w:rsidRDefault="00250DE6" w:rsidP="00181120">
      <w:pPr>
        <w:rPr>
          <w:sz w:val="24"/>
          <w:szCs w:val="24"/>
        </w:rPr>
      </w:pPr>
      <w:r w:rsidRPr="00250DE6">
        <w:rPr>
          <w:sz w:val="24"/>
          <w:szCs w:val="24"/>
        </w:rPr>
        <w:t>Operating expenditure in July</w:t>
      </w:r>
      <w:r w:rsidR="00995406" w:rsidRPr="00250DE6">
        <w:rPr>
          <w:sz w:val="24"/>
          <w:szCs w:val="24"/>
        </w:rPr>
        <w:t xml:space="preserve"> was slightly </w:t>
      </w:r>
      <w:r w:rsidRPr="00250DE6">
        <w:rPr>
          <w:sz w:val="24"/>
          <w:szCs w:val="24"/>
        </w:rPr>
        <w:t>increased on the June level. An element of this can be attributed to the Agenda for Change Pay award (circa £334k), however once this is normalised the run rate is still an increase on previous periods.</w:t>
      </w:r>
    </w:p>
    <w:p w:rsidR="00250DE6" w:rsidRDefault="00250DE6" w:rsidP="00181120">
      <w:pPr>
        <w:rPr>
          <w:noProof/>
          <w:lang w:eastAsia="en-GB"/>
        </w:rPr>
      </w:pPr>
    </w:p>
    <w:p w:rsidR="00B76858" w:rsidRDefault="00CE3140" w:rsidP="00995406">
      <w:pPr>
        <w:jc w:val="center"/>
        <w:rPr>
          <w:b/>
          <w:noProof/>
          <w:color w:val="FF0000"/>
          <w:lang w:eastAsia="en-GB"/>
        </w:rPr>
      </w:pPr>
      <w:r>
        <w:rPr>
          <w:noProof/>
          <w:lang w:eastAsia="en-GB"/>
        </w:rPr>
        <w:drawing>
          <wp:inline distT="0" distB="0" distL="0" distR="0" wp14:anchorId="3E5A836E" wp14:editId="265904DA">
            <wp:extent cx="5943600" cy="2306955"/>
            <wp:effectExtent l="0" t="0" r="1905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406" w:rsidRDefault="00995406" w:rsidP="00181120">
      <w:pPr>
        <w:rPr>
          <w:b/>
          <w:noProof/>
          <w:color w:val="FF0000"/>
          <w:lang w:eastAsia="en-GB"/>
        </w:rPr>
      </w:pPr>
    </w:p>
    <w:p w:rsidR="00181120" w:rsidRPr="00250DE6" w:rsidRDefault="003C42B3" w:rsidP="00181120">
      <w:pPr>
        <w:rPr>
          <w:b/>
          <w:sz w:val="24"/>
          <w:szCs w:val="24"/>
        </w:rPr>
      </w:pPr>
      <w:r w:rsidRPr="00250DE6">
        <w:rPr>
          <w:b/>
          <w:sz w:val="24"/>
          <w:szCs w:val="24"/>
        </w:rPr>
        <w:t xml:space="preserve">Medical Staffing – </w:t>
      </w:r>
      <w:r w:rsidR="00995406" w:rsidRPr="00250DE6">
        <w:rPr>
          <w:b/>
          <w:sz w:val="24"/>
          <w:szCs w:val="24"/>
        </w:rPr>
        <w:t>YTD</w:t>
      </w:r>
      <w:r w:rsidR="00181120" w:rsidRPr="00250DE6">
        <w:rPr>
          <w:b/>
          <w:sz w:val="24"/>
          <w:szCs w:val="24"/>
        </w:rPr>
        <w:t xml:space="preserve"> Pressure: £</w:t>
      </w:r>
      <w:r w:rsidR="00250DE6" w:rsidRPr="00250DE6">
        <w:rPr>
          <w:b/>
          <w:sz w:val="24"/>
          <w:szCs w:val="24"/>
        </w:rPr>
        <w:t>0.29</w:t>
      </w:r>
      <w:r w:rsidR="00181120" w:rsidRPr="00250DE6">
        <w:rPr>
          <w:b/>
          <w:sz w:val="24"/>
          <w:szCs w:val="24"/>
        </w:rPr>
        <w:t>m:</w:t>
      </w:r>
    </w:p>
    <w:p w:rsidR="00181120" w:rsidRPr="00250DE6" w:rsidRDefault="00181120" w:rsidP="00181120">
      <w:pPr>
        <w:rPr>
          <w:b/>
          <w:sz w:val="24"/>
          <w:szCs w:val="24"/>
        </w:rPr>
      </w:pPr>
    </w:p>
    <w:p w:rsidR="00250DE6" w:rsidRPr="00DC4626" w:rsidRDefault="003C42B3" w:rsidP="003C42B3">
      <w:pPr>
        <w:rPr>
          <w:sz w:val="24"/>
          <w:szCs w:val="24"/>
        </w:rPr>
      </w:pPr>
      <w:r w:rsidRPr="00DC4626">
        <w:rPr>
          <w:sz w:val="24"/>
          <w:szCs w:val="24"/>
        </w:rPr>
        <w:t xml:space="preserve">Medical staffing </w:t>
      </w:r>
      <w:r w:rsidR="00250DE6" w:rsidRPr="00DC4626">
        <w:rPr>
          <w:sz w:val="24"/>
          <w:szCs w:val="24"/>
        </w:rPr>
        <w:t>spend in July returned to pre-June levels and</w:t>
      </w:r>
      <w:r w:rsidR="00A25761" w:rsidRPr="00DC4626">
        <w:rPr>
          <w:sz w:val="24"/>
          <w:szCs w:val="24"/>
        </w:rPr>
        <w:t xml:space="preserve"> remained marginally above plan. </w:t>
      </w:r>
      <w:r w:rsidR="00250DE6" w:rsidRPr="00DC4626">
        <w:rPr>
          <w:sz w:val="24"/>
          <w:szCs w:val="24"/>
        </w:rPr>
        <w:t>Run rate levels r</w:t>
      </w:r>
      <w:r w:rsidR="00DC4626" w:rsidRPr="00DC4626">
        <w:rPr>
          <w:sz w:val="24"/>
          <w:szCs w:val="24"/>
        </w:rPr>
        <w:t>emain relatively flat lined despite seeing an improvement in underlying vacancy rates by over 12 wte’</w:t>
      </w:r>
      <w:r w:rsidR="00DC4626">
        <w:rPr>
          <w:sz w:val="24"/>
          <w:szCs w:val="24"/>
        </w:rPr>
        <w:t>s on</w:t>
      </w:r>
      <w:r w:rsidR="00DC4626" w:rsidRPr="00DC4626">
        <w:rPr>
          <w:sz w:val="24"/>
          <w:szCs w:val="24"/>
        </w:rPr>
        <w:t xml:space="preserve"> the </w:t>
      </w:r>
      <w:r w:rsidR="00DC4626">
        <w:rPr>
          <w:sz w:val="24"/>
          <w:szCs w:val="24"/>
        </w:rPr>
        <w:t>20</w:t>
      </w:r>
      <w:r w:rsidR="00DC4626" w:rsidRPr="00DC4626">
        <w:rPr>
          <w:sz w:val="24"/>
          <w:szCs w:val="24"/>
        </w:rPr>
        <w:t>17/18 average vacancy position.</w:t>
      </w:r>
      <w:r w:rsidR="00DC4626">
        <w:rPr>
          <w:sz w:val="24"/>
          <w:szCs w:val="24"/>
        </w:rPr>
        <w:t xml:space="preserve"> Non vacancy booking reasons have increased by over £1ook per month in June and July compared to April and May.</w:t>
      </w:r>
    </w:p>
    <w:p w:rsidR="00250DE6" w:rsidRDefault="00250DE6" w:rsidP="003C42B3">
      <w:pPr>
        <w:rPr>
          <w:color w:val="FF0000"/>
          <w:sz w:val="24"/>
          <w:szCs w:val="24"/>
        </w:rPr>
      </w:pPr>
    </w:p>
    <w:p w:rsidR="003C42B3" w:rsidRPr="00DC4626" w:rsidRDefault="00A25761" w:rsidP="003C42B3">
      <w:pPr>
        <w:rPr>
          <w:sz w:val="24"/>
          <w:szCs w:val="24"/>
        </w:rPr>
      </w:pPr>
      <w:r w:rsidRPr="00DC4626">
        <w:rPr>
          <w:sz w:val="24"/>
          <w:szCs w:val="24"/>
        </w:rPr>
        <w:t xml:space="preserve">The sharp </w:t>
      </w:r>
      <w:r w:rsidR="00DC4626" w:rsidRPr="00DC4626">
        <w:rPr>
          <w:sz w:val="24"/>
          <w:szCs w:val="24"/>
        </w:rPr>
        <w:t xml:space="preserve">increase in </w:t>
      </w:r>
      <w:r w:rsidRPr="00DC4626">
        <w:rPr>
          <w:sz w:val="24"/>
          <w:szCs w:val="24"/>
        </w:rPr>
        <w:t>savings reductions required, particularly in Q3 through recruitment aided control over temporary staffing commitments, make this a critical area of risk. Significant issues were identified by the NHSI temporary staffing team through their recent review. This highlighted issues in terms of rota planning, and underneath that individual and team job planning.</w:t>
      </w:r>
    </w:p>
    <w:p w:rsidR="00A25761" w:rsidRPr="00DC4626" w:rsidRDefault="00A25761" w:rsidP="003C42B3">
      <w:pPr>
        <w:rPr>
          <w:sz w:val="24"/>
          <w:szCs w:val="24"/>
        </w:rPr>
      </w:pPr>
    </w:p>
    <w:p w:rsidR="00A25761" w:rsidRPr="00DC4626" w:rsidRDefault="00A25761" w:rsidP="003C42B3">
      <w:pPr>
        <w:rPr>
          <w:sz w:val="24"/>
          <w:szCs w:val="24"/>
        </w:rPr>
      </w:pPr>
      <w:r w:rsidRPr="00DC4626">
        <w:rPr>
          <w:sz w:val="24"/>
          <w:szCs w:val="24"/>
        </w:rPr>
        <w:t>The re-invigoration of the savings workstream in this area to build a coherent modernisation agenda for medical staffing workforce and management systems is a critical action.</w:t>
      </w:r>
    </w:p>
    <w:p w:rsidR="00B76858" w:rsidRPr="00CE3140" w:rsidRDefault="00B76858" w:rsidP="00181120">
      <w:pPr>
        <w:rPr>
          <w:color w:val="FF0000"/>
        </w:rPr>
      </w:pPr>
    </w:p>
    <w:p w:rsidR="000D5DD0" w:rsidRPr="000D5DD0" w:rsidRDefault="000D5DD0" w:rsidP="00181120">
      <w:pPr>
        <w:rPr>
          <w:color w:val="FF0000"/>
        </w:rPr>
      </w:pPr>
    </w:p>
    <w:p w:rsidR="00181120" w:rsidRDefault="00CE3140" w:rsidP="00181120">
      <w:r>
        <w:rPr>
          <w:noProof/>
          <w:lang w:eastAsia="en-GB"/>
        </w:rPr>
        <w:drawing>
          <wp:inline distT="0" distB="0" distL="0" distR="0" wp14:anchorId="43873D04" wp14:editId="62DF78D4">
            <wp:extent cx="5943600" cy="2247265"/>
            <wp:effectExtent l="0" t="0" r="19050" b="196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2F20" w:rsidRDefault="001A2F20">
      <w:pPr>
        <w:spacing w:after="200" w:line="276" w:lineRule="auto"/>
        <w:jc w:val="left"/>
        <w:rPr>
          <w:color w:val="FF0000"/>
        </w:rPr>
      </w:pPr>
      <w:r>
        <w:rPr>
          <w:color w:val="FF0000"/>
        </w:rPr>
        <w:br w:type="page"/>
      </w:r>
    </w:p>
    <w:p w:rsidR="00181120" w:rsidRPr="006A2D13" w:rsidRDefault="003C42B3" w:rsidP="00181120">
      <w:pPr>
        <w:rPr>
          <w:b/>
          <w:sz w:val="24"/>
          <w:szCs w:val="24"/>
        </w:rPr>
      </w:pPr>
      <w:r w:rsidRPr="006A2D13">
        <w:rPr>
          <w:b/>
          <w:sz w:val="24"/>
          <w:szCs w:val="24"/>
        </w:rPr>
        <w:lastRenderedPageBreak/>
        <w:t xml:space="preserve">Nurse Staffing – </w:t>
      </w:r>
      <w:r w:rsidR="00131CBD" w:rsidRPr="006A2D13">
        <w:rPr>
          <w:b/>
          <w:sz w:val="24"/>
          <w:szCs w:val="24"/>
        </w:rPr>
        <w:t>YTD</w:t>
      </w:r>
      <w:r w:rsidR="00181120" w:rsidRPr="006A2D13">
        <w:rPr>
          <w:b/>
          <w:sz w:val="24"/>
          <w:szCs w:val="24"/>
        </w:rPr>
        <w:t xml:space="preserve"> Pressure: £</w:t>
      </w:r>
      <w:r w:rsidR="00131CBD" w:rsidRPr="006A2D13">
        <w:rPr>
          <w:b/>
          <w:sz w:val="24"/>
          <w:szCs w:val="24"/>
        </w:rPr>
        <w:t>0</w:t>
      </w:r>
      <w:r w:rsidR="005634CB" w:rsidRPr="006A2D13">
        <w:rPr>
          <w:b/>
          <w:sz w:val="24"/>
          <w:szCs w:val="24"/>
        </w:rPr>
        <w:t>.</w:t>
      </w:r>
      <w:r w:rsidR="00936CBE">
        <w:rPr>
          <w:b/>
          <w:sz w:val="24"/>
          <w:szCs w:val="24"/>
        </w:rPr>
        <w:t>07</w:t>
      </w:r>
      <w:r w:rsidR="00181120" w:rsidRPr="006A2D13">
        <w:rPr>
          <w:b/>
          <w:sz w:val="24"/>
          <w:szCs w:val="24"/>
        </w:rPr>
        <w:t>m:</w:t>
      </w:r>
    </w:p>
    <w:p w:rsidR="00181120" w:rsidRPr="006A2D13" w:rsidRDefault="00181120" w:rsidP="00181120">
      <w:pPr>
        <w:rPr>
          <w:b/>
          <w:sz w:val="24"/>
          <w:szCs w:val="24"/>
        </w:rPr>
      </w:pPr>
    </w:p>
    <w:p w:rsidR="00131CBD" w:rsidRPr="006A2D13" w:rsidRDefault="006A2D13" w:rsidP="003C42B3">
      <w:pPr>
        <w:rPr>
          <w:sz w:val="24"/>
          <w:szCs w:val="24"/>
        </w:rPr>
      </w:pPr>
      <w:r w:rsidRPr="006A2D13">
        <w:rPr>
          <w:sz w:val="24"/>
          <w:szCs w:val="24"/>
        </w:rPr>
        <w:t xml:space="preserve">July saw </w:t>
      </w:r>
      <w:r w:rsidR="00131CBD" w:rsidRPr="006A2D13">
        <w:rPr>
          <w:sz w:val="24"/>
          <w:szCs w:val="24"/>
        </w:rPr>
        <w:t>further</w:t>
      </w:r>
      <w:r w:rsidRPr="006A2D13">
        <w:rPr>
          <w:sz w:val="24"/>
          <w:szCs w:val="24"/>
        </w:rPr>
        <w:t xml:space="preserve"> elevated levels </w:t>
      </w:r>
      <w:r w:rsidR="00131CBD" w:rsidRPr="006A2D13">
        <w:rPr>
          <w:sz w:val="24"/>
          <w:szCs w:val="24"/>
        </w:rPr>
        <w:t>in nursing spend</w:t>
      </w:r>
      <w:r w:rsidRPr="006A2D13">
        <w:rPr>
          <w:sz w:val="24"/>
          <w:szCs w:val="24"/>
        </w:rPr>
        <w:t xml:space="preserve"> once the AfC pay arears are adjusted for and continues the high levels seen in June.</w:t>
      </w:r>
      <w:r w:rsidR="00936CBE">
        <w:rPr>
          <w:sz w:val="24"/>
          <w:szCs w:val="24"/>
        </w:rPr>
        <w:t xml:space="preserve"> Although currently close to plan, the savings delivery </w:t>
      </w:r>
      <w:r w:rsidR="00D42F73">
        <w:rPr>
          <w:sz w:val="24"/>
          <w:szCs w:val="24"/>
        </w:rPr>
        <w:t>requirements are significantly tail ended towards the latter periods of the year and therefore require</w:t>
      </w:r>
      <w:r w:rsidR="00936CBE">
        <w:rPr>
          <w:sz w:val="24"/>
          <w:szCs w:val="24"/>
        </w:rPr>
        <w:t xml:space="preserve"> improvement on the current run rate trend.</w:t>
      </w:r>
    </w:p>
    <w:p w:rsidR="006A2D13" w:rsidRPr="006A2D13" w:rsidRDefault="006A2D13" w:rsidP="003C42B3">
      <w:pPr>
        <w:rPr>
          <w:sz w:val="24"/>
          <w:szCs w:val="24"/>
        </w:rPr>
      </w:pPr>
    </w:p>
    <w:p w:rsidR="006A2D13" w:rsidRPr="006A2D13" w:rsidRDefault="006A2D13" w:rsidP="003C42B3">
      <w:pPr>
        <w:rPr>
          <w:sz w:val="24"/>
          <w:szCs w:val="24"/>
        </w:rPr>
      </w:pPr>
      <w:r w:rsidRPr="006A2D13">
        <w:rPr>
          <w:sz w:val="24"/>
          <w:szCs w:val="24"/>
        </w:rPr>
        <w:t xml:space="preserve">The Trust must progress with corrective actions to address areas of concern highlighted by the NHSI </w:t>
      </w:r>
      <w:r w:rsidR="00D42F73" w:rsidRPr="006A2D13">
        <w:rPr>
          <w:sz w:val="24"/>
          <w:szCs w:val="24"/>
        </w:rPr>
        <w:t>temporary</w:t>
      </w:r>
      <w:r w:rsidRPr="006A2D13">
        <w:rPr>
          <w:sz w:val="24"/>
          <w:szCs w:val="24"/>
        </w:rPr>
        <w:t xml:space="preserve"> staffing i</w:t>
      </w:r>
      <w:r w:rsidR="00131CBD" w:rsidRPr="006A2D13">
        <w:rPr>
          <w:sz w:val="24"/>
          <w:szCs w:val="24"/>
        </w:rPr>
        <w:t>n terms of adherence to rostering and</w:t>
      </w:r>
      <w:r w:rsidRPr="006A2D13">
        <w:rPr>
          <w:sz w:val="24"/>
          <w:szCs w:val="24"/>
        </w:rPr>
        <w:t xml:space="preserve"> temporary staffing procedures.</w:t>
      </w:r>
    </w:p>
    <w:p w:rsidR="006A2D13" w:rsidRPr="006A2D13" w:rsidRDefault="006A2D13" w:rsidP="003C42B3">
      <w:pPr>
        <w:rPr>
          <w:sz w:val="24"/>
          <w:szCs w:val="24"/>
        </w:rPr>
      </w:pPr>
    </w:p>
    <w:p w:rsidR="00131CBD" w:rsidRPr="006A2D13" w:rsidRDefault="00131CBD" w:rsidP="003C42B3">
      <w:pPr>
        <w:rPr>
          <w:sz w:val="24"/>
          <w:szCs w:val="24"/>
        </w:rPr>
      </w:pPr>
      <w:r w:rsidRPr="006A2D13">
        <w:rPr>
          <w:sz w:val="24"/>
          <w:szCs w:val="24"/>
        </w:rPr>
        <w:t xml:space="preserve">Though the Trust has set a very cautious plan for net spend reductions in nursing, given the experience in 2017/18, </w:t>
      </w:r>
      <w:r w:rsidR="006A2D13" w:rsidRPr="006A2D13">
        <w:rPr>
          <w:sz w:val="24"/>
          <w:szCs w:val="24"/>
        </w:rPr>
        <w:t xml:space="preserve">where we witnessed </w:t>
      </w:r>
      <w:r w:rsidR="00D42F73" w:rsidRPr="006A2D13">
        <w:rPr>
          <w:sz w:val="24"/>
          <w:szCs w:val="24"/>
        </w:rPr>
        <w:t>improved</w:t>
      </w:r>
      <w:r w:rsidR="006A2D13" w:rsidRPr="006A2D13">
        <w:rPr>
          <w:sz w:val="24"/>
          <w:szCs w:val="24"/>
        </w:rPr>
        <w:t xml:space="preserve"> vacancy fill but no resultant reduction in total spend, </w:t>
      </w:r>
      <w:r w:rsidRPr="006A2D13">
        <w:rPr>
          <w:sz w:val="24"/>
          <w:szCs w:val="24"/>
        </w:rPr>
        <w:t xml:space="preserve">this does remain an area of potential </w:t>
      </w:r>
      <w:r w:rsidR="006A2D13" w:rsidRPr="006A2D13">
        <w:rPr>
          <w:sz w:val="24"/>
          <w:szCs w:val="24"/>
        </w:rPr>
        <w:t>high risk.</w:t>
      </w:r>
    </w:p>
    <w:p w:rsidR="006A2D13" w:rsidRPr="006A2D13" w:rsidRDefault="006A2D13" w:rsidP="003C42B3">
      <w:pPr>
        <w:rPr>
          <w:sz w:val="24"/>
          <w:szCs w:val="24"/>
        </w:rPr>
      </w:pPr>
    </w:p>
    <w:p w:rsidR="006A2D13" w:rsidRPr="006A2D13" w:rsidRDefault="006A2D13" w:rsidP="003C42B3">
      <w:pPr>
        <w:rPr>
          <w:sz w:val="24"/>
          <w:szCs w:val="24"/>
        </w:rPr>
      </w:pPr>
    </w:p>
    <w:p w:rsidR="00131CBD" w:rsidRPr="006A2D13" w:rsidRDefault="00131CBD" w:rsidP="003C42B3">
      <w:pPr>
        <w:rPr>
          <w:sz w:val="24"/>
          <w:szCs w:val="24"/>
        </w:rPr>
      </w:pPr>
      <w:r w:rsidRPr="006A2D13">
        <w:rPr>
          <w:sz w:val="24"/>
          <w:szCs w:val="24"/>
        </w:rPr>
        <w:t xml:space="preserve">Vacancies, sickness rates, rostering efficiency in areas such as additional </w:t>
      </w:r>
      <w:r w:rsidR="009D3090" w:rsidRPr="006A2D13">
        <w:rPr>
          <w:sz w:val="24"/>
          <w:szCs w:val="24"/>
        </w:rPr>
        <w:t>duties</w:t>
      </w:r>
      <w:r w:rsidRPr="006A2D13">
        <w:rPr>
          <w:sz w:val="24"/>
          <w:szCs w:val="24"/>
        </w:rPr>
        <w:t xml:space="preserve"> and annual leave, and line management and escalation approval processes have all been highlighted as in need of improvement.</w:t>
      </w:r>
    </w:p>
    <w:p w:rsidR="00131CBD" w:rsidRPr="006A2D13" w:rsidRDefault="00131CBD" w:rsidP="003C42B3">
      <w:pPr>
        <w:rPr>
          <w:sz w:val="24"/>
          <w:szCs w:val="24"/>
        </w:rPr>
      </w:pPr>
    </w:p>
    <w:p w:rsidR="00131CBD" w:rsidRPr="006A2D13" w:rsidRDefault="00131CBD" w:rsidP="003C42B3">
      <w:pPr>
        <w:rPr>
          <w:sz w:val="24"/>
          <w:szCs w:val="24"/>
        </w:rPr>
      </w:pPr>
      <w:r w:rsidRPr="006A2D13">
        <w:rPr>
          <w:sz w:val="24"/>
          <w:szCs w:val="24"/>
        </w:rPr>
        <w:t>Again, a re-mobilisation of the workstream project team for nursing will help turn the modernising ideas of the New Deal for Nursing into a coherent workforce programme, supported by effective management controls.</w:t>
      </w:r>
    </w:p>
    <w:p w:rsidR="007C5AFF" w:rsidRDefault="007C5AFF" w:rsidP="00181120"/>
    <w:p w:rsidR="00AA3DE0" w:rsidRDefault="00CE3140" w:rsidP="00181120">
      <w:r>
        <w:rPr>
          <w:noProof/>
          <w:lang w:eastAsia="en-GB"/>
        </w:rPr>
        <w:drawing>
          <wp:inline distT="0" distB="0" distL="0" distR="0" wp14:anchorId="4D6EB2F4" wp14:editId="02B256CE">
            <wp:extent cx="5943600" cy="2254885"/>
            <wp:effectExtent l="0" t="0" r="1905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2C10" w:rsidRPr="00936CBE" w:rsidRDefault="00592C10" w:rsidP="00181120"/>
    <w:p w:rsidR="002115D2" w:rsidRPr="00936CBE" w:rsidRDefault="002115D2" w:rsidP="002115D2">
      <w:pPr>
        <w:rPr>
          <w:b/>
          <w:sz w:val="24"/>
          <w:szCs w:val="24"/>
        </w:rPr>
      </w:pPr>
      <w:r w:rsidRPr="00936CBE">
        <w:rPr>
          <w:b/>
          <w:sz w:val="24"/>
          <w:szCs w:val="24"/>
        </w:rPr>
        <w:t>AHP Staffi</w:t>
      </w:r>
      <w:r w:rsidR="00936CBE" w:rsidRPr="00936CBE">
        <w:rPr>
          <w:b/>
          <w:sz w:val="24"/>
          <w:szCs w:val="24"/>
        </w:rPr>
        <w:t>ng: YTD Positive Variance: £0.57</w:t>
      </w:r>
      <w:r w:rsidRPr="00936CBE">
        <w:rPr>
          <w:b/>
          <w:sz w:val="24"/>
          <w:szCs w:val="24"/>
        </w:rPr>
        <w:t>m:</w:t>
      </w:r>
    </w:p>
    <w:p w:rsidR="002115D2" w:rsidRPr="00936CBE" w:rsidRDefault="002115D2" w:rsidP="002115D2">
      <w:pPr>
        <w:rPr>
          <w:b/>
          <w:sz w:val="24"/>
          <w:szCs w:val="24"/>
        </w:rPr>
      </w:pPr>
    </w:p>
    <w:p w:rsidR="002115D2" w:rsidRPr="00936CBE" w:rsidRDefault="002115D2" w:rsidP="002115D2">
      <w:pPr>
        <w:rPr>
          <w:sz w:val="24"/>
          <w:szCs w:val="24"/>
        </w:rPr>
      </w:pPr>
      <w:r w:rsidRPr="00936CBE">
        <w:rPr>
          <w:sz w:val="24"/>
          <w:szCs w:val="24"/>
        </w:rPr>
        <w:t>AHP spend has run largely flat, without the ability to commit additional resources to substantive staff to meet capacity expansion needs, as ideally planned. Instead, expenditure has been directed towards outsourced imaging capacity.</w:t>
      </w:r>
    </w:p>
    <w:p w:rsidR="002115D2" w:rsidRPr="00936CBE" w:rsidRDefault="002115D2" w:rsidP="002115D2">
      <w:pPr>
        <w:rPr>
          <w:sz w:val="24"/>
          <w:szCs w:val="24"/>
        </w:rPr>
      </w:pPr>
    </w:p>
    <w:p w:rsidR="002115D2" w:rsidRPr="00936CBE" w:rsidRDefault="00954291" w:rsidP="002115D2">
      <w:pPr>
        <w:rPr>
          <w:sz w:val="24"/>
          <w:szCs w:val="24"/>
        </w:rPr>
      </w:pPr>
      <w:r w:rsidRPr="00936CBE">
        <w:rPr>
          <w:sz w:val="24"/>
          <w:szCs w:val="24"/>
        </w:rPr>
        <w:t>Vacancies in Therapy and Pathology services also contribute to the positive variance against plan.</w:t>
      </w:r>
    </w:p>
    <w:p w:rsidR="00936CBE" w:rsidRPr="00936CBE" w:rsidRDefault="00936CBE" w:rsidP="002115D2">
      <w:pPr>
        <w:rPr>
          <w:sz w:val="24"/>
          <w:szCs w:val="24"/>
        </w:rPr>
      </w:pPr>
    </w:p>
    <w:p w:rsidR="00936CBE" w:rsidRPr="00936CBE" w:rsidRDefault="00936CBE" w:rsidP="002115D2">
      <w:pPr>
        <w:rPr>
          <w:sz w:val="24"/>
          <w:szCs w:val="24"/>
        </w:rPr>
      </w:pPr>
      <w:r w:rsidRPr="00936CBE">
        <w:rPr>
          <w:sz w:val="24"/>
          <w:szCs w:val="24"/>
        </w:rPr>
        <w:t xml:space="preserve">Planning assumptions assumed increased reliance on internal staffing to deliver increased </w:t>
      </w:r>
      <w:r w:rsidR="00D42F73" w:rsidRPr="00936CBE">
        <w:rPr>
          <w:sz w:val="24"/>
          <w:szCs w:val="24"/>
        </w:rPr>
        <w:t>diagnostic</w:t>
      </w:r>
      <w:r w:rsidRPr="00936CBE">
        <w:rPr>
          <w:sz w:val="24"/>
          <w:szCs w:val="24"/>
        </w:rPr>
        <w:t xml:space="preserve"> demand and therefore this positive variance should be seen in conjunction with the outsourced diagnostic over spend in non pay of £0.38m.</w:t>
      </w:r>
    </w:p>
    <w:p w:rsidR="001A2F20" w:rsidRDefault="001A2F20">
      <w:pPr>
        <w:spacing w:after="200" w:line="276" w:lineRule="auto"/>
        <w:jc w:val="left"/>
        <w:rPr>
          <w:b/>
          <w:color w:val="FF0000"/>
          <w:sz w:val="24"/>
          <w:szCs w:val="24"/>
        </w:rPr>
      </w:pPr>
      <w:r>
        <w:rPr>
          <w:b/>
          <w:color w:val="FF0000"/>
          <w:sz w:val="24"/>
          <w:szCs w:val="24"/>
        </w:rPr>
        <w:br w:type="page"/>
      </w:r>
    </w:p>
    <w:p w:rsidR="00181120" w:rsidRPr="00936CBE" w:rsidRDefault="00181120" w:rsidP="00181120">
      <w:pPr>
        <w:rPr>
          <w:b/>
          <w:sz w:val="24"/>
          <w:szCs w:val="24"/>
        </w:rPr>
      </w:pPr>
      <w:r w:rsidRPr="00936CBE">
        <w:rPr>
          <w:b/>
          <w:sz w:val="24"/>
          <w:szCs w:val="24"/>
        </w:rPr>
        <w:lastRenderedPageBreak/>
        <w:t>Pay, Non C</w:t>
      </w:r>
      <w:r w:rsidR="003C42B3" w:rsidRPr="00936CBE">
        <w:rPr>
          <w:b/>
          <w:sz w:val="24"/>
          <w:szCs w:val="24"/>
        </w:rPr>
        <w:t xml:space="preserve">linical: </w:t>
      </w:r>
      <w:r w:rsidR="00954291" w:rsidRPr="00936CBE">
        <w:rPr>
          <w:b/>
          <w:sz w:val="24"/>
          <w:szCs w:val="24"/>
        </w:rPr>
        <w:t>YTD</w:t>
      </w:r>
      <w:r w:rsidRPr="00936CBE">
        <w:rPr>
          <w:b/>
          <w:sz w:val="24"/>
          <w:szCs w:val="24"/>
        </w:rPr>
        <w:t xml:space="preserve"> Pressure: £0.</w:t>
      </w:r>
      <w:r w:rsidR="00936CBE" w:rsidRPr="00936CBE">
        <w:rPr>
          <w:b/>
          <w:sz w:val="24"/>
          <w:szCs w:val="24"/>
        </w:rPr>
        <w:t>26</w:t>
      </w:r>
      <w:r w:rsidRPr="00936CBE">
        <w:rPr>
          <w:b/>
          <w:sz w:val="24"/>
          <w:szCs w:val="24"/>
        </w:rPr>
        <w:t>m:</w:t>
      </w:r>
    </w:p>
    <w:p w:rsidR="00181120" w:rsidRPr="00936CBE" w:rsidRDefault="00181120" w:rsidP="00181120">
      <w:pPr>
        <w:rPr>
          <w:b/>
          <w:sz w:val="24"/>
          <w:szCs w:val="24"/>
        </w:rPr>
      </w:pPr>
    </w:p>
    <w:p w:rsidR="00936CBE" w:rsidRPr="00936CBE" w:rsidRDefault="009D3090" w:rsidP="003C42B3">
      <w:pPr>
        <w:rPr>
          <w:sz w:val="24"/>
          <w:szCs w:val="24"/>
        </w:rPr>
      </w:pPr>
      <w:r w:rsidRPr="00936CBE">
        <w:rPr>
          <w:sz w:val="24"/>
          <w:szCs w:val="24"/>
        </w:rPr>
        <w:t>Administration</w:t>
      </w:r>
      <w:r w:rsidR="004F6A6B" w:rsidRPr="00936CBE">
        <w:rPr>
          <w:sz w:val="24"/>
          <w:szCs w:val="24"/>
        </w:rPr>
        <w:t xml:space="preserve"> and Management expenditure continues to run at an elevated level</w:t>
      </w:r>
      <w:r w:rsidR="00936CBE" w:rsidRPr="00936CBE">
        <w:rPr>
          <w:sz w:val="24"/>
          <w:szCs w:val="24"/>
        </w:rPr>
        <w:t xml:space="preserve"> above average 17/18 levels.</w:t>
      </w:r>
    </w:p>
    <w:p w:rsidR="00936CBE" w:rsidRPr="00936CBE" w:rsidRDefault="00936CBE" w:rsidP="003C42B3">
      <w:pPr>
        <w:rPr>
          <w:sz w:val="24"/>
          <w:szCs w:val="24"/>
        </w:rPr>
      </w:pPr>
    </w:p>
    <w:p w:rsidR="003C42B3" w:rsidRPr="00936CBE" w:rsidRDefault="004F6A6B" w:rsidP="003C42B3">
      <w:pPr>
        <w:rPr>
          <w:sz w:val="24"/>
          <w:szCs w:val="24"/>
        </w:rPr>
      </w:pPr>
      <w:r w:rsidRPr="00936CBE">
        <w:rPr>
          <w:sz w:val="24"/>
          <w:szCs w:val="24"/>
        </w:rPr>
        <w:t>The work to rework and tighten Operations management and admin structures is ongoing</w:t>
      </w:r>
      <w:r w:rsidR="00936CBE" w:rsidRPr="00936CBE">
        <w:rPr>
          <w:sz w:val="24"/>
          <w:szCs w:val="24"/>
        </w:rPr>
        <w:t>, and is critical to get right.</w:t>
      </w:r>
    </w:p>
    <w:p w:rsidR="004F6A6B" w:rsidRPr="00936CBE" w:rsidRDefault="004F6A6B" w:rsidP="003C42B3">
      <w:pPr>
        <w:rPr>
          <w:sz w:val="24"/>
          <w:szCs w:val="24"/>
        </w:rPr>
      </w:pPr>
    </w:p>
    <w:p w:rsidR="004F6A6B" w:rsidRPr="00936CBE" w:rsidRDefault="004F6A6B" w:rsidP="003C42B3">
      <w:pPr>
        <w:rPr>
          <w:sz w:val="24"/>
          <w:szCs w:val="24"/>
        </w:rPr>
      </w:pPr>
      <w:r w:rsidRPr="00936CBE">
        <w:rPr>
          <w:sz w:val="24"/>
          <w:szCs w:val="24"/>
        </w:rPr>
        <w:t>Nevertheless, the current spend level is unsustainable given the Trust’s plan commitments, which hold management and admin spending reduction to the trustwide savings rate of 4%.</w:t>
      </w:r>
    </w:p>
    <w:p w:rsidR="003B25AA" w:rsidRPr="003B25AA" w:rsidRDefault="003B25AA" w:rsidP="00181120">
      <w:pPr>
        <w:rPr>
          <w:b/>
        </w:rPr>
      </w:pPr>
    </w:p>
    <w:tbl>
      <w:tblPr>
        <w:tblW w:w="31680" w:type="dxa"/>
        <w:tblInd w:w="108" w:type="dxa"/>
        <w:tblLook w:val="04A0" w:firstRow="1" w:lastRow="0" w:firstColumn="1" w:lastColumn="0" w:noHBand="0" w:noVBand="1"/>
      </w:tblPr>
      <w:tblGrid>
        <w:gridCol w:w="10581"/>
        <w:gridCol w:w="843"/>
        <w:gridCol w:w="841"/>
        <w:gridCol w:w="842"/>
        <w:gridCol w:w="842"/>
        <w:gridCol w:w="842"/>
        <w:gridCol w:w="842"/>
        <w:gridCol w:w="842"/>
        <w:gridCol w:w="843"/>
        <w:gridCol w:w="843"/>
        <w:gridCol w:w="844"/>
        <w:gridCol w:w="845"/>
        <w:gridCol w:w="845"/>
        <w:gridCol w:w="845"/>
        <w:gridCol w:w="845"/>
        <w:gridCol w:w="845"/>
        <w:gridCol w:w="845"/>
        <w:gridCol w:w="845"/>
        <w:gridCol w:w="845"/>
        <w:gridCol w:w="845"/>
        <w:gridCol w:w="845"/>
        <w:gridCol w:w="845"/>
        <w:gridCol w:w="845"/>
        <w:gridCol w:w="845"/>
        <w:gridCol w:w="845"/>
        <w:gridCol w:w="845"/>
      </w:tblGrid>
      <w:tr w:rsidR="00181120" w:rsidRPr="00181120" w:rsidTr="00CE3140">
        <w:trPr>
          <w:trHeight w:val="255"/>
        </w:trPr>
        <w:tc>
          <w:tcPr>
            <w:tcW w:w="10581" w:type="dxa"/>
            <w:tcBorders>
              <w:top w:val="nil"/>
              <w:left w:val="nil"/>
              <w:bottom w:val="nil"/>
              <w:right w:val="nil"/>
            </w:tcBorders>
            <w:shd w:val="clear" w:color="auto" w:fill="auto"/>
            <w:noWrap/>
            <w:vAlign w:val="bottom"/>
            <w:hideMark/>
          </w:tcPr>
          <w:p w:rsidR="00C4121B" w:rsidRPr="00181120" w:rsidRDefault="00CE3140" w:rsidP="00181120">
            <w:r>
              <w:rPr>
                <w:noProof/>
                <w:lang w:eastAsia="en-GB"/>
              </w:rPr>
              <w:drawing>
                <wp:inline distT="0" distB="0" distL="0" distR="0" wp14:anchorId="17725711" wp14:editId="1882EB4A">
                  <wp:extent cx="5943600" cy="2299970"/>
                  <wp:effectExtent l="0" t="0" r="1905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120" w:rsidRPr="00181120" w:rsidRDefault="00181120" w:rsidP="00181120">
            <w:pPr>
              <w:jc w:val="left"/>
              <w:rPr>
                <w:rFonts w:eastAsia="Times New Roman" w:cs="Arial"/>
                <w:sz w:val="20"/>
                <w:szCs w:val="20"/>
                <w:lang w:eastAsia="en-GB"/>
              </w:rPr>
            </w:pPr>
          </w:p>
        </w:tc>
        <w:tc>
          <w:tcPr>
            <w:tcW w:w="843"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1"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2"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2"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2"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2"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2"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3"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3"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4"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c>
          <w:tcPr>
            <w:tcW w:w="845" w:type="dxa"/>
            <w:tcBorders>
              <w:top w:val="nil"/>
              <w:left w:val="nil"/>
              <w:bottom w:val="nil"/>
              <w:right w:val="nil"/>
            </w:tcBorders>
            <w:shd w:val="clear" w:color="auto" w:fill="auto"/>
            <w:noWrap/>
            <w:vAlign w:val="bottom"/>
            <w:hideMark/>
          </w:tcPr>
          <w:p w:rsidR="00181120" w:rsidRPr="00181120" w:rsidRDefault="00181120" w:rsidP="00181120">
            <w:pPr>
              <w:jc w:val="left"/>
              <w:rPr>
                <w:rFonts w:eastAsia="Times New Roman" w:cs="Arial"/>
                <w:sz w:val="20"/>
                <w:szCs w:val="20"/>
                <w:lang w:eastAsia="en-GB"/>
              </w:rPr>
            </w:pPr>
          </w:p>
        </w:tc>
      </w:tr>
    </w:tbl>
    <w:p w:rsidR="00181120" w:rsidRPr="00FB15B0" w:rsidRDefault="00181120" w:rsidP="00181120"/>
    <w:p w:rsidR="00181120" w:rsidRPr="00936CBE" w:rsidRDefault="00FB15B0" w:rsidP="00181120">
      <w:pPr>
        <w:rPr>
          <w:b/>
          <w:sz w:val="24"/>
          <w:szCs w:val="24"/>
        </w:rPr>
      </w:pPr>
      <w:r w:rsidRPr="00936CBE">
        <w:rPr>
          <w:b/>
          <w:sz w:val="24"/>
          <w:szCs w:val="24"/>
        </w:rPr>
        <w:t xml:space="preserve">Clinical Non Pay: </w:t>
      </w:r>
      <w:r w:rsidR="004F6A6B" w:rsidRPr="00936CBE">
        <w:rPr>
          <w:b/>
          <w:sz w:val="24"/>
          <w:szCs w:val="24"/>
        </w:rPr>
        <w:t>YTD</w:t>
      </w:r>
      <w:r w:rsidR="00181120" w:rsidRPr="00936CBE">
        <w:rPr>
          <w:b/>
          <w:sz w:val="24"/>
          <w:szCs w:val="24"/>
        </w:rPr>
        <w:t xml:space="preserve"> Pressure: £</w:t>
      </w:r>
      <w:r w:rsidR="004F6A6B" w:rsidRPr="00936CBE">
        <w:rPr>
          <w:b/>
          <w:sz w:val="24"/>
          <w:szCs w:val="24"/>
        </w:rPr>
        <w:t>0.50</w:t>
      </w:r>
      <w:r w:rsidR="00181120" w:rsidRPr="00936CBE">
        <w:rPr>
          <w:b/>
          <w:sz w:val="24"/>
          <w:szCs w:val="24"/>
        </w:rPr>
        <w:t>m:</w:t>
      </w:r>
    </w:p>
    <w:p w:rsidR="00181120" w:rsidRPr="00936CBE" w:rsidRDefault="00181120" w:rsidP="00C4121B">
      <w:pPr>
        <w:rPr>
          <w:sz w:val="24"/>
          <w:szCs w:val="24"/>
        </w:rPr>
      </w:pPr>
    </w:p>
    <w:p w:rsidR="00181120" w:rsidRDefault="00936CBE" w:rsidP="003027CA">
      <w:pPr>
        <w:rPr>
          <w:color w:val="FF0000"/>
          <w:sz w:val="24"/>
          <w:szCs w:val="24"/>
        </w:rPr>
      </w:pPr>
      <w:r w:rsidRPr="00936CBE">
        <w:rPr>
          <w:sz w:val="24"/>
          <w:szCs w:val="24"/>
        </w:rPr>
        <w:t xml:space="preserve">The increase in clinical supplies spend </w:t>
      </w:r>
      <w:r w:rsidR="00D42F73">
        <w:rPr>
          <w:sz w:val="24"/>
          <w:szCs w:val="24"/>
        </w:rPr>
        <w:t xml:space="preserve">witnessed over Q1 </w:t>
      </w:r>
      <w:r w:rsidRPr="00936CBE">
        <w:rPr>
          <w:sz w:val="24"/>
          <w:szCs w:val="24"/>
        </w:rPr>
        <w:t>continued into July resulting in the highest spend seen in the last seven months</w:t>
      </w:r>
      <w:r w:rsidR="00D42F73">
        <w:rPr>
          <w:sz w:val="24"/>
          <w:szCs w:val="24"/>
        </w:rPr>
        <w:t>. A</w:t>
      </w:r>
      <w:r w:rsidR="004F6A6B" w:rsidRPr="00936CBE">
        <w:rPr>
          <w:sz w:val="24"/>
          <w:szCs w:val="24"/>
        </w:rPr>
        <w:t>ctivity levels have not across all services reached plan levels</w:t>
      </w:r>
      <w:r w:rsidR="00D42F73">
        <w:rPr>
          <w:sz w:val="24"/>
          <w:szCs w:val="24"/>
        </w:rPr>
        <w:t xml:space="preserve"> so does not correlate with the level of expenditure witnessed in full</w:t>
      </w:r>
      <w:r w:rsidRPr="00936CBE">
        <w:rPr>
          <w:sz w:val="24"/>
          <w:szCs w:val="24"/>
        </w:rPr>
        <w:t>.</w:t>
      </w:r>
    </w:p>
    <w:p w:rsidR="00D42F73" w:rsidRPr="00D42F73" w:rsidRDefault="00D42F73" w:rsidP="003027CA">
      <w:pPr>
        <w:rPr>
          <w:sz w:val="24"/>
          <w:szCs w:val="24"/>
        </w:rPr>
      </w:pPr>
    </w:p>
    <w:p w:rsidR="00FB15B0" w:rsidRPr="00D42F73" w:rsidRDefault="009D3090" w:rsidP="003027CA">
      <w:pPr>
        <w:rPr>
          <w:sz w:val="24"/>
          <w:szCs w:val="24"/>
        </w:rPr>
      </w:pPr>
      <w:r w:rsidRPr="00D42F73">
        <w:rPr>
          <w:sz w:val="24"/>
          <w:szCs w:val="24"/>
        </w:rPr>
        <w:t>Surgery</w:t>
      </w:r>
      <w:r w:rsidR="00C95CE8" w:rsidRPr="00D42F73">
        <w:rPr>
          <w:sz w:val="24"/>
          <w:szCs w:val="24"/>
        </w:rPr>
        <w:t xml:space="preserve"> and Critical Care </w:t>
      </w:r>
      <w:r w:rsidR="00D42F73">
        <w:rPr>
          <w:sz w:val="24"/>
          <w:szCs w:val="24"/>
        </w:rPr>
        <w:t xml:space="preserve">still </w:t>
      </w:r>
      <w:r w:rsidR="00C95CE8" w:rsidRPr="00D42F73">
        <w:rPr>
          <w:sz w:val="24"/>
          <w:szCs w:val="24"/>
        </w:rPr>
        <w:t xml:space="preserve">accounts for </w:t>
      </w:r>
      <w:r w:rsidR="00D42F73" w:rsidRPr="00D42F73">
        <w:rPr>
          <w:sz w:val="24"/>
          <w:szCs w:val="24"/>
        </w:rPr>
        <w:t>the majority of the</w:t>
      </w:r>
      <w:r w:rsidR="00C95CE8" w:rsidRPr="00D42F73">
        <w:rPr>
          <w:sz w:val="24"/>
          <w:szCs w:val="24"/>
        </w:rPr>
        <w:t xml:space="preserve"> total variance, with both general and orthopaedic implant costs standing out as variance outliers. In terms of implants, the savings plan for prosthesis standardisation is </w:t>
      </w:r>
      <w:r w:rsidR="00D42F73" w:rsidRPr="00D42F73">
        <w:rPr>
          <w:sz w:val="24"/>
          <w:szCs w:val="24"/>
        </w:rPr>
        <w:t>still</w:t>
      </w:r>
      <w:r w:rsidR="00C95CE8" w:rsidRPr="00D42F73">
        <w:rPr>
          <w:sz w:val="24"/>
          <w:szCs w:val="24"/>
        </w:rPr>
        <w:t xml:space="preserve"> to be agreed by clinic</w:t>
      </w:r>
      <w:r w:rsidR="00D42F73" w:rsidRPr="00D42F73">
        <w:rPr>
          <w:sz w:val="24"/>
          <w:szCs w:val="24"/>
        </w:rPr>
        <w:t>ians.</w:t>
      </w:r>
    </w:p>
    <w:p w:rsidR="00D42F73" w:rsidRPr="002E6961" w:rsidRDefault="00D42F73" w:rsidP="003027CA">
      <w:pPr>
        <w:rPr>
          <w:color w:val="FF0000"/>
          <w:sz w:val="24"/>
          <w:szCs w:val="24"/>
        </w:rPr>
      </w:pPr>
    </w:p>
    <w:p w:rsidR="00FB15B0" w:rsidRPr="00D42F73" w:rsidRDefault="00FB15B0" w:rsidP="003027CA">
      <w:pPr>
        <w:rPr>
          <w:b/>
          <w:sz w:val="24"/>
          <w:szCs w:val="24"/>
        </w:rPr>
      </w:pPr>
      <w:r w:rsidRPr="00D42F73">
        <w:rPr>
          <w:b/>
          <w:sz w:val="24"/>
          <w:szCs w:val="24"/>
        </w:rPr>
        <w:t>Ot</w:t>
      </w:r>
      <w:r w:rsidR="00D42F73" w:rsidRPr="00D42F73">
        <w:rPr>
          <w:b/>
          <w:sz w:val="24"/>
          <w:szCs w:val="24"/>
        </w:rPr>
        <w:t>her Non Pay: YTD Pressure: £0.33</w:t>
      </w:r>
      <w:r w:rsidRPr="00D42F73">
        <w:rPr>
          <w:b/>
          <w:sz w:val="24"/>
          <w:szCs w:val="24"/>
        </w:rPr>
        <w:t>m:</w:t>
      </w:r>
    </w:p>
    <w:p w:rsidR="00132D92" w:rsidRPr="00D42F73" w:rsidRDefault="00132D92" w:rsidP="003027CA">
      <w:pPr>
        <w:rPr>
          <w:sz w:val="24"/>
          <w:szCs w:val="24"/>
        </w:rPr>
      </w:pPr>
    </w:p>
    <w:p w:rsidR="00181120" w:rsidRPr="00D42F73" w:rsidRDefault="009D3090" w:rsidP="003027CA">
      <w:pPr>
        <w:rPr>
          <w:sz w:val="24"/>
          <w:szCs w:val="24"/>
        </w:rPr>
      </w:pPr>
      <w:r w:rsidRPr="00D42F73">
        <w:rPr>
          <w:sz w:val="24"/>
          <w:szCs w:val="24"/>
        </w:rPr>
        <w:t>Though additional costs for imaging outsou</w:t>
      </w:r>
      <w:r w:rsidR="00D42F73" w:rsidRPr="00D42F73">
        <w:rPr>
          <w:sz w:val="24"/>
          <w:szCs w:val="24"/>
        </w:rPr>
        <w:t>rced capacity has driven a £0.38</w:t>
      </w:r>
      <w:r w:rsidRPr="00D42F73">
        <w:rPr>
          <w:sz w:val="24"/>
          <w:szCs w:val="24"/>
        </w:rPr>
        <w:t>m overspend</w:t>
      </w:r>
      <w:r w:rsidR="00D42F73" w:rsidRPr="00D42F73">
        <w:rPr>
          <w:sz w:val="24"/>
          <w:szCs w:val="24"/>
        </w:rPr>
        <w:t xml:space="preserve"> as outlined previously</w:t>
      </w:r>
      <w:r w:rsidRPr="00D42F73">
        <w:rPr>
          <w:sz w:val="24"/>
          <w:szCs w:val="24"/>
        </w:rPr>
        <w:t xml:space="preserve">, and estates maintenance pressures have </w:t>
      </w:r>
      <w:r w:rsidR="00D42F73">
        <w:rPr>
          <w:sz w:val="24"/>
          <w:szCs w:val="24"/>
        </w:rPr>
        <w:t>further deter</w:t>
      </w:r>
      <w:r w:rsidR="00D42F73" w:rsidRPr="00D42F73">
        <w:rPr>
          <w:sz w:val="24"/>
          <w:szCs w:val="24"/>
        </w:rPr>
        <w:t>i</w:t>
      </w:r>
      <w:r w:rsidR="00D42F73">
        <w:rPr>
          <w:sz w:val="24"/>
          <w:szCs w:val="24"/>
        </w:rPr>
        <w:t>or</w:t>
      </w:r>
      <w:r w:rsidR="00D42F73" w:rsidRPr="00D42F73">
        <w:rPr>
          <w:sz w:val="24"/>
          <w:szCs w:val="24"/>
        </w:rPr>
        <w:t>ated resulting in a £0.23</w:t>
      </w:r>
      <w:r w:rsidRPr="00D42F73">
        <w:rPr>
          <w:sz w:val="24"/>
          <w:szCs w:val="24"/>
        </w:rPr>
        <w:t>m overspend on premises costs, o</w:t>
      </w:r>
      <w:r w:rsidR="00D42F73" w:rsidRPr="00D42F73">
        <w:rPr>
          <w:sz w:val="24"/>
          <w:szCs w:val="24"/>
        </w:rPr>
        <w:t>ther underspending on non pay have</w:t>
      </w:r>
      <w:r w:rsidRPr="00D42F73">
        <w:rPr>
          <w:sz w:val="24"/>
          <w:szCs w:val="24"/>
        </w:rPr>
        <w:t xml:space="preserve"> </w:t>
      </w:r>
      <w:r w:rsidR="00D42F73" w:rsidRPr="00D42F73">
        <w:rPr>
          <w:sz w:val="24"/>
          <w:szCs w:val="24"/>
        </w:rPr>
        <w:t xml:space="preserve">continued to </w:t>
      </w:r>
      <w:r w:rsidRPr="00D42F73">
        <w:rPr>
          <w:sz w:val="24"/>
          <w:szCs w:val="24"/>
        </w:rPr>
        <w:t>mitigate pressures.</w:t>
      </w:r>
    </w:p>
    <w:p w:rsidR="00C95CE8" w:rsidRPr="00D42F73" w:rsidRDefault="00C95CE8" w:rsidP="003027CA">
      <w:pPr>
        <w:rPr>
          <w:sz w:val="24"/>
          <w:szCs w:val="24"/>
        </w:rPr>
      </w:pPr>
    </w:p>
    <w:p w:rsidR="00C95CE8" w:rsidRPr="00D42F73" w:rsidRDefault="00C95CE8" w:rsidP="003027CA">
      <w:pPr>
        <w:rPr>
          <w:sz w:val="24"/>
          <w:szCs w:val="24"/>
        </w:rPr>
      </w:pPr>
      <w:r w:rsidRPr="00D42F73">
        <w:rPr>
          <w:sz w:val="24"/>
          <w:szCs w:val="24"/>
        </w:rPr>
        <w:t>The possibility for further pressure later in the year on energy, maintenance, IM&amp;T, consultancy support and bought in capacity do mean that current underspends cannot be taken for granted, however.</w:t>
      </w:r>
    </w:p>
    <w:p w:rsidR="00C95CE8" w:rsidRDefault="00C95CE8" w:rsidP="003027CA">
      <w:pPr>
        <w:rPr>
          <w:sz w:val="24"/>
          <w:szCs w:val="24"/>
        </w:rPr>
      </w:pPr>
    </w:p>
    <w:p w:rsidR="00C95CE8" w:rsidRPr="004F6A6B" w:rsidRDefault="00C95CE8" w:rsidP="003027CA">
      <w:pPr>
        <w:rPr>
          <w:sz w:val="24"/>
          <w:szCs w:val="24"/>
        </w:rPr>
      </w:pPr>
    </w:p>
    <w:p w:rsidR="004F6A6B" w:rsidRDefault="004F6A6B">
      <w:pPr>
        <w:spacing w:after="200" w:line="276" w:lineRule="auto"/>
        <w:jc w:val="left"/>
        <w:rPr>
          <w:b/>
          <w:sz w:val="24"/>
          <w:szCs w:val="24"/>
        </w:rPr>
      </w:pPr>
      <w:r>
        <w:rPr>
          <w:b/>
          <w:sz w:val="24"/>
          <w:szCs w:val="24"/>
        </w:rPr>
        <w:br w:type="page"/>
      </w:r>
    </w:p>
    <w:p w:rsidR="00181120" w:rsidRPr="0098594E" w:rsidRDefault="00181120" w:rsidP="00181120">
      <w:pPr>
        <w:rPr>
          <w:b/>
          <w:sz w:val="24"/>
          <w:szCs w:val="24"/>
        </w:rPr>
      </w:pPr>
      <w:r w:rsidRPr="0098594E">
        <w:rPr>
          <w:b/>
          <w:sz w:val="24"/>
          <w:szCs w:val="24"/>
        </w:rPr>
        <w:lastRenderedPageBreak/>
        <w:t>Savings Plan:</w:t>
      </w:r>
    </w:p>
    <w:p w:rsidR="00181120" w:rsidRPr="0098594E" w:rsidRDefault="00181120" w:rsidP="00181120">
      <w:pPr>
        <w:rPr>
          <w:noProof/>
          <w:sz w:val="24"/>
          <w:szCs w:val="24"/>
          <w:highlight w:val="yellow"/>
          <w:lang w:eastAsia="en-GB"/>
        </w:rPr>
      </w:pPr>
    </w:p>
    <w:p w:rsidR="00FB15B0" w:rsidRDefault="0098594E" w:rsidP="00FB15B0">
      <w:pPr>
        <w:rPr>
          <w:noProof/>
          <w:sz w:val="24"/>
          <w:szCs w:val="24"/>
          <w:lang w:eastAsia="en-GB"/>
        </w:rPr>
      </w:pPr>
      <w:r>
        <w:rPr>
          <w:noProof/>
          <w:sz w:val="24"/>
          <w:szCs w:val="24"/>
          <w:lang w:eastAsia="en-GB"/>
        </w:rPr>
        <w:t xml:space="preserve">Savings delivery </w:t>
      </w:r>
      <w:r w:rsidR="00621ADB">
        <w:rPr>
          <w:noProof/>
          <w:sz w:val="24"/>
          <w:szCs w:val="24"/>
          <w:lang w:eastAsia="en-GB"/>
        </w:rPr>
        <w:t>ha</w:t>
      </w:r>
      <w:r>
        <w:rPr>
          <w:noProof/>
          <w:sz w:val="24"/>
          <w:szCs w:val="24"/>
          <w:lang w:eastAsia="en-GB"/>
        </w:rPr>
        <w:t xml:space="preserve">s </w:t>
      </w:r>
      <w:r w:rsidR="00621ADB">
        <w:rPr>
          <w:noProof/>
          <w:sz w:val="24"/>
          <w:szCs w:val="24"/>
          <w:lang w:eastAsia="en-GB"/>
        </w:rPr>
        <w:t xml:space="preserve">now </w:t>
      </w:r>
      <w:r>
        <w:rPr>
          <w:noProof/>
          <w:sz w:val="24"/>
          <w:szCs w:val="24"/>
          <w:lang w:eastAsia="en-GB"/>
        </w:rPr>
        <w:t xml:space="preserve">marginally </w:t>
      </w:r>
      <w:r w:rsidR="00621ADB">
        <w:rPr>
          <w:noProof/>
          <w:sz w:val="24"/>
          <w:szCs w:val="24"/>
          <w:lang w:eastAsia="en-GB"/>
        </w:rPr>
        <w:t>fallen behind</w:t>
      </w:r>
      <w:r>
        <w:rPr>
          <w:noProof/>
          <w:sz w:val="24"/>
          <w:szCs w:val="24"/>
          <w:lang w:eastAsia="en-GB"/>
        </w:rPr>
        <w:t xml:space="preserve"> pl</w:t>
      </w:r>
      <w:r w:rsidR="00621ADB">
        <w:rPr>
          <w:noProof/>
          <w:sz w:val="24"/>
          <w:szCs w:val="24"/>
          <w:lang w:eastAsia="en-GB"/>
        </w:rPr>
        <w:t>an for the year to date overall as the savings requirments start to increase as planned.</w:t>
      </w:r>
      <w:r>
        <w:rPr>
          <w:noProof/>
          <w:sz w:val="24"/>
          <w:szCs w:val="24"/>
          <w:lang w:eastAsia="en-GB"/>
        </w:rPr>
        <w:t xml:space="preserve"> </w:t>
      </w:r>
      <w:r w:rsidR="00621ADB">
        <w:rPr>
          <w:noProof/>
          <w:sz w:val="24"/>
          <w:szCs w:val="24"/>
          <w:lang w:eastAsia="en-GB"/>
        </w:rPr>
        <w:t>S</w:t>
      </w:r>
      <w:r>
        <w:rPr>
          <w:noProof/>
          <w:sz w:val="24"/>
          <w:szCs w:val="24"/>
          <w:lang w:eastAsia="en-GB"/>
        </w:rPr>
        <w:t>hortfalls on non pay projects (primarily through the delay on agreeing the Orthopaedic Prosthesis changes)</w:t>
      </w:r>
      <w:r w:rsidR="00621ADB">
        <w:rPr>
          <w:noProof/>
          <w:sz w:val="24"/>
          <w:szCs w:val="24"/>
          <w:lang w:eastAsia="en-GB"/>
        </w:rPr>
        <w:t xml:space="preserve"> and Nurse Staffing controls providing the key adverse variances</w:t>
      </w:r>
      <w:r>
        <w:rPr>
          <w:noProof/>
          <w:sz w:val="24"/>
          <w:szCs w:val="24"/>
          <w:lang w:eastAsia="en-GB"/>
        </w:rPr>
        <w:t>.</w:t>
      </w:r>
    </w:p>
    <w:p w:rsidR="0098594E" w:rsidRDefault="0098594E" w:rsidP="00FB15B0">
      <w:pPr>
        <w:rPr>
          <w:noProof/>
          <w:sz w:val="24"/>
          <w:szCs w:val="24"/>
          <w:lang w:eastAsia="en-GB"/>
        </w:rPr>
      </w:pPr>
    </w:p>
    <w:p w:rsidR="0098594E" w:rsidRDefault="0098594E" w:rsidP="00FB15B0">
      <w:pPr>
        <w:rPr>
          <w:noProof/>
          <w:sz w:val="24"/>
          <w:szCs w:val="24"/>
          <w:lang w:eastAsia="en-GB"/>
        </w:rPr>
      </w:pPr>
      <w:r>
        <w:rPr>
          <w:noProof/>
          <w:sz w:val="24"/>
          <w:szCs w:val="24"/>
          <w:lang w:eastAsia="en-GB"/>
        </w:rPr>
        <w:t xml:space="preserve">However, </w:t>
      </w:r>
      <w:r w:rsidR="002E6961">
        <w:rPr>
          <w:noProof/>
          <w:sz w:val="24"/>
          <w:szCs w:val="24"/>
          <w:lang w:eastAsia="en-GB"/>
        </w:rPr>
        <w:t xml:space="preserve">the previous crude </w:t>
      </w:r>
      <w:r>
        <w:rPr>
          <w:noProof/>
          <w:sz w:val="24"/>
          <w:szCs w:val="24"/>
          <w:lang w:eastAsia="en-GB"/>
        </w:rPr>
        <w:t xml:space="preserve">risk adjusted view of full year delivery </w:t>
      </w:r>
      <w:r w:rsidR="002E6961">
        <w:rPr>
          <w:noProof/>
          <w:sz w:val="24"/>
          <w:szCs w:val="24"/>
          <w:lang w:eastAsia="en-GB"/>
        </w:rPr>
        <w:t>ha</w:t>
      </w:r>
      <w:r>
        <w:rPr>
          <w:noProof/>
          <w:sz w:val="24"/>
          <w:szCs w:val="24"/>
          <w:lang w:eastAsia="en-GB"/>
        </w:rPr>
        <w:t xml:space="preserve">s </w:t>
      </w:r>
      <w:r w:rsidR="002E6961">
        <w:rPr>
          <w:noProof/>
          <w:sz w:val="24"/>
          <w:szCs w:val="24"/>
          <w:lang w:eastAsia="en-GB"/>
        </w:rPr>
        <w:t>been replaced with forecast savings delivery that is mapped closely to proposed actions and known interventions specifically those linked to Recruitment and Retention inititiaves within Medical Staffing and the New Deal for Nursing</w:t>
      </w:r>
      <w:r>
        <w:rPr>
          <w:noProof/>
          <w:sz w:val="24"/>
          <w:szCs w:val="24"/>
          <w:lang w:eastAsia="en-GB"/>
        </w:rPr>
        <w:t>.</w:t>
      </w:r>
      <w:r w:rsidR="002E6961">
        <w:rPr>
          <w:noProof/>
          <w:sz w:val="24"/>
          <w:szCs w:val="24"/>
          <w:lang w:eastAsia="en-GB"/>
        </w:rPr>
        <w:t xml:space="preserve"> These interventions are still not without risk and will require close monitoring and corrective actions if they fail to materilaise as currently forecast.</w:t>
      </w:r>
    </w:p>
    <w:p w:rsidR="0098594E" w:rsidRDefault="0098594E" w:rsidP="00FB15B0">
      <w:pPr>
        <w:rPr>
          <w:noProof/>
          <w:sz w:val="24"/>
          <w:szCs w:val="24"/>
          <w:lang w:eastAsia="en-GB"/>
        </w:rPr>
      </w:pPr>
    </w:p>
    <w:p w:rsidR="0098594E" w:rsidRDefault="00F9553E" w:rsidP="0098594E">
      <w:pPr>
        <w:jc w:val="center"/>
        <w:rPr>
          <w:noProof/>
          <w:sz w:val="24"/>
          <w:szCs w:val="24"/>
          <w:lang w:eastAsia="en-GB"/>
        </w:rPr>
      </w:pPr>
      <w:r w:rsidRPr="00F9553E">
        <w:rPr>
          <w:noProof/>
          <w:lang w:eastAsia="en-GB"/>
        </w:rPr>
        <w:drawing>
          <wp:inline distT="0" distB="0" distL="0" distR="0" wp14:anchorId="04210B9D" wp14:editId="02C74AC0">
            <wp:extent cx="6794204" cy="3104707"/>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94204" cy="3104707"/>
                    </a:xfrm>
                    <a:prstGeom prst="rect">
                      <a:avLst/>
                    </a:prstGeom>
                  </pic:spPr>
                </pic:pic>
              </a:graphicData>
            </a:graphic>
          </wp:inline>
        </w:drawing>
      </w:r>
    </w:p>
    <w:p w:rsidR="0098594E" w:rsidRDefault="0098594E" w:rsidP="00FB15B0">
      <w:pPr>
        <w:rPr>
          <w:noProof/>
          <w:sz w:val="24"/>
          <w:szCs w:val="24"/>
          <w:lang w:eastAsia="en-GB"/>
        </w:rPr>
      </w:pPr>
    </w:p>
    <w:p w:rsidR="00993F82" w:rsidRPr="006613B7" w:rsidRDefault="006613B7" w:rsidP="00FB15B0">
      <w:pPr>
        <w:rPr>
          <w:noProof/>
          <w:sz w:val="24"/>
          <w:szCs w:val="24"/>
          <w:lang w:eastAsia="en-GB"/>
        </w:rPr>
      </w:pPr>
      <w:r w:rsidRPr="006613B7">
        <w:rPr>
          <w:noProof/>
          <w:sz w:val="24"/>
          <w:szCs w:val="24"/>
          <w:lang w:eastAsia="en-GB"/>
        </w:rPr>
        <w:t>The m</w:t>
      </w:r>
      <w:r w:rsidR="00993F82" w:rsidRPr="006613B7">
        <w:rPr>
          <w:noProof/>
          <w:sz w:val="24"/>
          <w:szCs w:val="24"/>
          <w:lang w:eastAsia="en-GB"/>
        </w:rPr>
        <w:t xml:space="preserve">ain areas for action through the savings programme </w:t>
      </w:r>
      <w:r w:rsidRPr="006613B7">
        <w:rPr>
          <w:noProof/>
          <w:sz w:val="24"/>
          <w:szCs w:val="24"/>
          <w:lang w:eastAsia="en-GB"/>
        </w:rPr>
        <w:t>remain as</w:t>
      </w:r>
      <w:r w:rsidR="00993F82" w:rsidRPr="006613B7">
        <w:rPr>
          <w:noProof/>
          <w:sz w:val="24"/>
          <w:szCs w:val="24"/>
          <w:lang w:eastAsia="en-GB"/>
        </w:rPr>
        <w:t>;</w:t>
      </w:r>
    </w:p>
    <w:p w:rsidR="00993F82" w:rsidRPr="006613B7" w:rsidRDefault="00993F82" w:rsidP="00FB15B0">
      <w:pPr>
        <w:rPr>
          <w:noProof/>
          <w:sz w:val="24"/>
          <w:szCs w:val="24"/>
          <w:lang w:eastAsia="en-GB"/>
        </w:rPr>
      </w:pPr>
    </w:p>
    <w:p w:rsidR="00993F82" w:rsidRPr="006613B7" w:rsidRDefault="00993F82" w:rsidP="00993F82">
      <w:pPr>
        <w:pStyle w:val="ListParagraph"/>
        <w:numPr>
          <w:ilvl w:val="0"/>
          <w:numId w:val="28"/>
        </w:numPr>
        <w:rPr>
          <w:noProof/>
          <w:sz w:val="24"/>
          <w:szCs w:val="24"/>
          <w:lang w:eastAsia="en-GB"/>
        </w:rPr>
      </w:pPr>
      <w:r w:rsidRPr="006613B7">
        <w:rPr>
          <w:noProof/>
          <w:sz w:val="24"/>
          <w:szCs w:val="24"/>
          <w:lang w:eastAsia="en-GB"/>
        </w:rPr>
        <w:t>Re-focus activity on nursing workforce, making the most of the “New Deal” ideas;</w:t>
      </w:r>
    </w:p>
    <w:p w:rsidR="00993F82" w:rsidRPr="006613B7" w:rsidRDefault="00993F82" w:rsidP="00993F82">
      <w:pPr>
        <w:pStyle w:val="ListParagraph"/>
        <w:numPr>
          <w:ilvl w:val="0"/>
          <w:numId w:val="28"/>
        </w:numPr>
        <w:rPr>
          <w:noProof/>
          <w:sz w:val="24"/>
          <w:szCs w:val="24"/>
          <w:lang w:eastAsia="en-GB"/>
        </w:rPr>
      </w:pPr>
      <w:r w:rsidRPr="006613B7">
        <w:rPr>
          <w:noProof/>
          <w:sz w:val="24"/>
          <w:szCs w:val="24"/>
          <w:lang w:eastAsia="en-GB"/>
        </w:rPr>
        <w:t>Re-mobilise the medical staffing workstream, to provide a tighter project management grip for these project areas;</w:t>
      </w:r>
    </w:p>
    <w:p w:rsidR="00993F82" w:rsidRPr="006613B7" w:rsidRDefault="00993F82" w:rsidP="00993F82">
      <w:pPr>
        <w:pStyle w:val="ListParagraph"/>
        <w:numPr>
          <w:ilvl w:val="0"/>
          <w:numId w:val="28"/>
        </w:numPr>
        <w:rPr>
          <w:noProof/>
          <w:sz w:val="24"/>
          <w:szCs w:val="24"/>
          <w:lang w:eastAsia="en-GB"/>
        </w:rPr>
      </w:pPr>
      <w:r w:rsidRPr="006613B7">
        <w:rPr>
          <w:noProof/>
          <w:sz w:val="24"/>
          <w:szCs w:val="24"/>
          <w:lang w:eastAsia="en-GB"/>
        </w:rPr>
        <w:t>Reinforce the procurement team (ongoing), and develop</w:t>
      </w:r>
      <w:r w:rsidR="006613B7" w:rsidRPr="006613B7">
        <w:rPr>
          <w:noProof/>
          <w:sz w:val="24"/>
          <w:szCs w:val="24"/>
          <w:lang w:eastAsia="en-GB"/>
        </w:rPr>
        <w:t xml:space="preserve"> better linkages with managemen</w:t>
      </w:r>
      <w:r w:rsidRPr="006613B7">
        <w:rPr>
          <w:noProof/>
          <w:sz w:val="24"/>
          <w:szCs w:val="24"/>
          <w:lang w:eastAsia="en-GB"/>
        </w:rPr>
        <w:t>t teams and clinicians on non pay savings projects.</w:t>
      </w:r>
    </w:p>
    <w:p w:rsidR="00FB15B0" w:rsidRPr="006613B7" w:rsidRDefault="00FB15B0" w:rsidP="00FB15B0">
      <w:pPr>
        <w:rPr>
          <w:noProof/>
          <w:lang w:eastAsia="en-GB"/>
        </w:rPr>
      </w:pPr>
    </w:p>
    <w:p w:rsidR="00993F82" w:rsidRPr="006613B7" w:rsidRDefault="00993F82" w:rsidP="00FB15B0">
      <w:pPr>
        <w:rPr>
          <w:noProof/>
          <w:sz w:val="24"/>
          <w:szCs w:val="24"/>
          <w:lang w:eastAsia="en-GB"/>
        </w:rPr>
      </w:pPr>
      <w:r w:rsidRPr="006613B7">
        <w:rPr>
          <w:noProof/>
          <w:sz w:val="24"/>
          <w:szCs w:val="24"/>
          <w:lang w:eastAsia="en-GB"/>
        </w:rPr>
        <w:t>These are all esential areas for immediate action.</w:t>
      </w:r>
    </w:p>
    <w:p w:rsidR="00FB15B0" w:rsidRPr="002E6961" w:rsidRDefault="00FB15B0" w:rsidP="00FB15B0">
      <w:pPr>
        <w:rPr>
          <w:noProof/>
          <w:color w:val="FF0000"/>
          <w:sz w:val="24"/>
          <w:szCs w:val="24"/>
          <w:lang w:eastAsia="en-GB"/>
        </w:rPr>
      </w:pPr>
    </w:p>
    <w:p w:rsidR="00FB15B0" w:rsidRPr="00FC68BA" w:rsidRDefault="00FC68BA" w:rsidP="00FB15B0">
      <w:pPr>
        <w:rPr>
          <w:b/>
          <w:noProof/>
          <w:sz w:val="24"/>
          <w:szCs w:val="24"/>
          <w:lang w:eastAsia="en-GB"/>
        </w:rPr>
      </w:pPr>
      <w:r w:rsidRPr="00FC68BA">
        <w:rPr>
          <w:b/>
          <w:noProof/>
          <w:sz w:val="24"/>
          <w:szCs w:val="24"/>
          <w:lang w:eastAsia="en-GB"/>
        </w:rPr>
        <w:t>“</w:t>
      </w:r>
      <w:r w:rsidR="00993F82" w:rsidRPr="00FC68BA">
        <w:rPr>
          <w:b/>
          <w:noProof/>
          <w:sz w:val="24"/>
          <w:szCs w:val="24"/>
          <w:lang w:eastAsia="en-GB"/>
        </w:rPr>
        <w:t>GIRFT</w:t>
      </w:r>
      <w:r w:rsidRPr="00FC68BA">
        <w:rPr>
          <w:b/>
          <w:noProof/>
          <w:sz w:val="24"/>
          <w:szCs w:val="24"/>
          <w:lang w:eastAsia="en-GB"/>
        </w:rPr>
        <w:t>”</w:t>
      </w:r>
      <w:r w:rsidR="00993F82" w:rsidRPr="00FC68BA">
        <w:rPr>
          <w:b/>
          <w:noProof/>
          <w:sz w:val="24"/>
          <w:szCs w:val="24"/>
          <w:lang w:eastAsia="en-GB"/>
        </w:rPr>
        <w:t xml:space="preserve"> Savings</w:t>
      </w:r>
      <w:r w:rsidR="00FB15B0" w:rsidRPr="00FC68BA">
        <w:rPr>
          <w:b/>
          <w:noProof/>
          <w:sz w:val="24"/>
          <w:szCs w:val="24"/>
          <w:lang w:eastAsia="en-GB"/>
        </w:rPr>
        <w:t>:</w:t>
      </w:r>
    </w:p>
    <w:p w:rsidR="00FB15B0" w:rsidRPr="00FC68BA" w:rsidRDefault="00FB15B0" w:rsidP="00FB15B0">
      <w:pPr>
        <w:rPr>
          <w:noProof/>
          <w:sz w:val="24"/>
          <w:szCs w:val="24"/>
          <w:lang w:eastAsia="en-GB"/>
        </w:rPr>
      </w:pPr>
    </w:p>
    <w:p w:rsidR="00FB15B0" w:rsidRPr="00FC68BA" w:rsidRDefault="00993F82" w:rsidP="00FB15B0">
      <w:pPr>
        <w:rPr>
          <w:noProof/>
          <w:sz w:val="24"/>
          <w:szCs w:val="24"/>
          <w:lang w:eastAsia="en-GB"/>
        </w:rPr>
      </w:pPr>
      <w:r w:rsidRPr="00FC68BA">
        <w:rPr>
          <w:noProof/>
          <w:sz w:val="24"/>
          <w:szCs w:val="24"/>
          <w:lang w:eastAsia="en-GB"/>
        </w:rPr>
        <w:t xml:space="preserve">The Trust plan includes £1.3m of late year savings </w:t>
      </w:r>
      <w:r w:rsidR="00DD4696">
        <w:rPr>
          <w:noProof/>
          <w:sz w:val="24"/>
          <w:szCs w:val="24"/>
          <w:lang w:eastAsia="en-GB"/>
        </w:rPr>
        <w:t>from</w:t>
      </w:r>
      <w:r w:rsidRPr="00FC68BA">
        <w:rPr>
          <w:noProof/>
          <w:sz w:val="24"/>
          <w:szCs w:val="24"/>
          <w:lang w:eastAsia="en-GB"/>
        </w:rPr>
        <w:t xml:space="preserve"> GIRFT and Strategic Review changes to services. This was explicitly a speculative figure – the underpinning scoping work has not been completed (and the trust has always maintained will be completed by the end of September at best). This target does though have to be borne in mind as “additional” savings required if we are to fully hit plan.</w:t>
      </w:r>
    </w:p>
    <w:p w:rsidR="001A2F20" w:rsidRDefault="001A2F20">
      <w:pPr>
        <w:spacing w:after="200" w:line="276" w:lineRule="auto"/>
        <w:jc w:val="left"/>
        <w:rPr>
          <w:noProof/>
          <w:color w:val="FF0000"/>
          <w:sz w:val="24"/>
          <w:szCs w:val="24"/>
          <w:lang w:eastAsia="en-GB"/>
        </w:rPr>
      </w:pPr>
      <w:r>
        <w:rPr>
          <w:noProof/>
          <w:color w:val="FF0000"/>
          <w:sz w:val="24"/>
          <w:szCs w:val="24"/>
          <w:lang w:eastAsia="en-GB"/>
        </w:rPr>
        <w:br w:type="page"/>
      </w:r>
    </w:p>
    <w:p w:rsidR="00FB15B0" w:rsidRPr="006613B7" w:rsidRDefault="00FB15B0" w:rsidP="00FB15B0">
      <w:pPr>
        <w:rPr>
          <w:b/>
          <w:noProof/>
          <w:sz w:val="24"/>
          <w:szCs w:val="24"/>
          <w:lang w:eastAsia="en-GB"/>
        </w:rPr>
      </w:pPr>
      <w:r w:rsidRPr="006613B7">
        <w:rPr>
          <w:b/>
          <w:noProof/>
          <w:sz w:val="24"/>
          <w:szCs w:val="24"/>
          <w:lang w:eastAsia="en-GB"/>
        </w:rPr>
        <w:lastRenderedPageBreak/>
        <w:t>Technical Balance Sheet Release Programme:</w:t>
      </w:r>
    </w:p>
    <w:p w:rsidR="00FB15B0" w:rsidRPr="006613B7" w:rsidRDefault="00FB15B0" w:rsidP="00FB15B0">
      <w:pPr>
        <w:rPr>
          <w:noProof/>
          <w:sz w:val="24"/>
          <w:szCs w:val="24"/>
          <w:lang w:eastAsia="en-GB"/>
        </w:rPr>
      </w:pPr>
    </w:p>
    <w:p w:rsidR="00FB15B0" w:rsidRPr="006613B7" w:rsidRDefault="00993F82" w:rsidP="00FB15B0">
      <w:pPr>
        <w:rPr>
          <w:noProof/>
          <w:sz w:val="24"/>
          <w:szCs w:val="24"/>
          <w:lang w:eastAsia="en-GB"/>
        </w:rPr>
      </w:pPr>
      <w:r w:rsidRPr="006613B7">
        <w:rPr>
          <w:noProof/>
          <w:sz w:val="24"/>
          <w:szCs w:val="24"/>
          <w:lang w:eastAsia="en-GB"/>
        </w:rPr>
        <w:t>Last year the Trust</w:t>
      </w:r>
      <w:r w:rsidR="00DD4696">
        <w:rPr>
          <w:noProof/>
          <w:sz w:val="24"/>
          <w:szCs w:val="24"/>
          <w:lang w:eastAsia="en-GB"/>
        </w:rPr>
        <w:t xml:space="preserve"> supported savings with £4.8m o</w:t>
      </w:r>
      <w:r w:rsidRPr="006613B7">
        <w:rPr>
          <w:noProof/>
          <w:sz w:val="24"/>
          <w:szCs w:val="24"/>
          <w:lang w:eastAsia="en-GB"/>
        </w:rPr>
        <w:t xml:space="preserve">f support </w:t>
      </w:r>
      <w:r w:rsidR="00DD4696">
        <w:rPr>
          <w:noProof/>
          <w:sz w:val="24"/>
          <w:szCs w:val="24"/>
          <w:lang w:eastAsia="en-GB"/>
        </w:rPr>
        <w:t>from</w:t>
      </w:r>
      <w:r w:rsidRPr="006613B7">
        <w:rPr>
          <w:noProof/>
          <w:sz w:val="24"/>
          <w:szCs w:val="24"/>
          <w:lang w:eastAsia="en-GB"/>
        </w:rPr>
        <w:t xml:space="preserve"> Balance Sheet review an</w:t>
      </w:r>
      <w:r w:rsidR="00366F1E" w:rsidRPr="006613B7">
        <w:rPr>
          <w:noProof/>
          <w:sz w:val="24"/>
          <w:szCs w:val="24"/>
          <w:lang w:eastAsia="en-GB"/>
        </w:rPr>
        <w:t xml:space="preserve">d </w:t>
      </w:r>
      <w:r w:rsidRPr="006613B7">
        <w:rPr>
          <w:noProof/>
          <w:sz w:val="24"/>
          <w:szCs w:val="24"/>
          <w:lang w:eastAsia="en-GB"/>
        </w:rPr>
        <w:t xml:space="preserve">releases. </w:t>
      </w:r>
    </w:p>
    <w:p w:rsidR="00FB15B0" w:rsidRPr="006613B7" w:rsidRDefault="00FB15B0" w:rsidP="00181120">
      <w:pPr>
        <w:rPr>
          <w:noProof/>
          <w:sz w:val="24"/>
          <w:szCs w:val="24"/>
          <w:lang w:eastAsia="en-GB"/>
        </w:rPr>
      </w:pPr>
    </w:p>
    <w:p w:rsidR="00366F1E" w:rsidRPr="006613B7" w:rsidRDefault="00366F1E" w:rsidP="00181120">
      <w:pPr>
        <w:rPr>
          <w:noProof/>
          <w:sz w:val="24"/>
          <w:szCs w:val="24"/>
          <w:lang w:eastAsia="en-GB"/>
        </w:rPr>
      </w:pPr>
      <w:r w:rsidRPr="006613B7">
        <w:rPr>
          <w:noProof/>
          <w:sz w:val="24"/>
          <w:szCs w:val="24"/>
          <w:lang w:eastAsia="en-GB"/>
        </w:rPr>
        <w:t xml:space="preserve">This year, no material support is available </w:t>
      </w:r>
      <w:r w:rsidR="006613B7" w:rsidRPr="006613B7">
        <w:rPr>
          <w:noProof/>
          <w:sz w:val="24"/>
          <w:szCs w:val="24"/>
          <w:lang w:eastAsia="en-GB"/>
        </w:rPr>
        <w:t>through this route – though at for the opening four month period</w:t>
      </w:r>
      <w:r w:rsidRPr="006613B7">
        <w:rPr>
          <w:noProof/>
          <w:sz w:val="24"/>
          <w:szCs w:val="24"/>
          <w:lang w:eastAsia="en-GB"/>
        </w:rPr>
        <w:t>, a total of £0.10m had been released from residual provisions.</w:t>
      </w:r>
    </w:p>
    <w:p w:rsidR="00FB15B0" w:rsidRPr="002E6961" w:rsidRDefault="00FB15B0" w:rsidP="00181120">
      <w:pPr>
        <w:rPr>
          <w:noProof/>
          <w:color w:val="FF0000"/>
          <w:sz w:val="24"/>
          <w:szCs w:val="24"/>
          <w:lang w:eastAsia="en-GB"/>
        </w:rPr>
      </w:pPr>
    </w:p>
    <w:p w:rsidR="00FB15B0" w:rsidRPr="00366F1E" w:rsidRDefault="00FB15B0" w:rsidP="00181120">
      <w:pPr>
        <w:rPr>
          <w:noProof/>
          <w:sz w:val="24"/>
          <w:szCs w:val="24"/>
          <w:lang w:eastAsia="en-GB"/>
        </w:rPr>
      </w:pPr>
    </w:p>
    <w:p w:rsidR="00FB15B0" w:rsidRPr="00366F1E" w:rsidRDefault="00FB15B0" w:rsidP="00181120">
      <w:pPr>
        <w:rPr>
          <w:noProof/>
          <w:sz w:val="24"/>
          <w:szCs w:val="24"/>
          <w:lang w:eastAsia="en-GB"/>
        </w:rPr>
      </w:pPr>
    </w:p>
    <w:p w:rsidR="00654530" w:rsidRDefault="00654530">
      <w:pPr>
        <w:spacing w:after="200" w:line="276" w:lineRule="auto"/>
        <w:jc w:val="left"/>
        <w:rPr>
          <w:b/>
          <w:sz w:val="24"/>
          <w:szCs w:val="24"/>
        </w:rPr>
      </w:pPr>
      <w:r>
        <w:rPr>
          <w:b/>
          <w:sz w:val="24"/>
          <w:szCs w:val="24"/>
        </w:rPr>
        <w:br w:type="page"/>
      </w:r>
    </w:p>
    <w:p w:rsidR="00654530" w:rsidRDefault="00654530" w:rsidP="00654530">
      <w:pPr>
        <w:rPr>
          <w:b/>
          <w:sz w:val="24"/>
          <w:szCs w:val="24"/>
        </w:rPr>
      </w:pPr>
      <w:r w:rsidRPr="00654530">
        <w:rPr>
          <w:b/>
          <w:sz w:val="24"/>
          <w:szCs w:val="24"/>
        </w:rPr>
        <w:lastRenderedPageBreak/>
        <w:t>5.</w:t>
      </w:r>
      <w:r w:rsidRPr="00654530">
        <w:rPr>
          <w:b/>
          <w:sz w:val="24"/>
          <w:szCs w:val="24"/>
        </w:rPr>
        <w:tab/>
        <w:t>Budgetary Management</w:t>
      </w:r>
      <w:r>
        <w:rPr>
          <w:b/>
          <w:sz w:val="24"/>
          <w:szCs w:val="24"/>
        </w:rPr>
        <w:t xml:space="preserve"> - Overview</w:t>
      </w:r>
      <w:r w:rsidRPr="00654530">
        <w:rPr>
          <w:b/>
          <w:sz w:val="24"/>
          <w:szCs w:val="24"/>
        </w:rPr>
        <w:t>:</w:t>
      </w:r>
    </w:p>
    <w:p w:rsidR="00A23509" w:rsidRDefault="00A23509" w:rsidP="00654530">
      <w:pPr>
        <w:rPr>
          <w:b/>
          <w:sz w:val="24"/>
          <w:szCs w:val="24"/>
        </w:rPr>
      </w:pPr>
    </w:p>
    <w:p w:rsidR="00A23509" w:rsidRPr="00A23509" w:rsidRDefault="009D3090" w:rsidP="00654530">
      <w:pPr>
        <w:rPr>
          <w:sz w:val="24"/>
          <w:szCs w:val="24"/>
        </w:rPr>
      </w:pPr>
      <w:r w:rsidRPr="00A23509">
        <w:rPr>
          <w:sz w:val="24"/>
          <w:szCs w:val="24"/>
        </w:rPr>
        <w:t>The summary table highlights budget variance</w:t>
      </w:r>
      <w:r>
        <w:rPr>
          <w:sz w:val="24"/>
          <w:szCs w:val="24"/>
        </w:rPr>
        <w:t>s by area, reconciled to the</w:t>
      </w:r>
      <w:r w:rsidRPr="00A23509">
        <w:rPr>
          <w:sz w:val="24"/>
          <w:szCs w:val="24"/>
        </w:rPr>
        <w:t xml:space="preserve"> variance on I&amp;E</w:t>
      </w:r>
      <w:r>
        <w:rPr>
          <w:sz w:val="24"/>
          <w:szCs w:val="24"/>
        </w:rPr>
        <w:t>:</w:t>
      </w:r>
    </w:p>
    <w:p w:rsidR="00654530" w:rsidRPr="00654530" w:rsidRDefault="00654530" w:rsidP="00654530">
      <w:pPr>
        <w:rPr>
          <w:sz w:val="24"/>
          <w:szCs w:val="24"/>
        </w:rPr>
      </w:pPr>
    </w:p>
    <w:tbl>
      <w:tblPr>
        <w:tblW w:w="10280" w:type="dxa"/>
        <w:tblInd w:w="98" w:type="dxa"/>
        <w:tblLook w:val="04A0" w:firstRow="1" w:lastRow="0" w:firstColumn="1" w:lastColumn="0" w:noHBand="0" w:noVBand="1"/>
      </w:tblPr>
      <w:tblGrid>
        <w:gridCol w:w="4520"/>
        <w:gridCol w:w="1440"/>
        <w:gridCol w:w="1440"/>
        <w:gridCol w:w="1440"/>
        <w:gridCol w:w="1440"/>
      </w:tblGrid>
      <w:tr w:rsidR="00654530" w:rsidRPr="00654530" w:rsidTr="00654530">
        <w:trPr>
          <w:trHeight w:val="900"/>
        </w:trPr>
        <w:tc>
          <w:tcPr>
            <w:tcW w:w="4520" w:type="dxa"/>
            <w:tcBorders>
              <w:top w:val="single" w:sz="8" w:space="0" w:color="auto"/>
              <w:left w:val="single" w:sz="8" w:space="0" w:color="auto"/>
              <w:bottom w:val="nil"/>
              <w:right w:val="single" w:sz="8" w:space="0" w:color="auto"/>
            </w:tcBorders>
            <w:shd w:val="clear" w:color="000000" w:fill="C0C0C0"/>
            <w:vAlign w:val="center"/>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 </w:t>
            </w:r>
          </w:p>
        </w:tc>
        <w:tc>
          <w:tcPr>
            <w:tcW w:w="1440" w:type="dxa"/>
            <w:tcBorders>
              <w:top w:val="single" w:sz="8" w:space="0" w:color="auto"/>
              <w:left w:val="nil"/>
              <w:bottom w:val="nil"/>
              <w:right w:val="single" w:sz="8" w:space="0" w:color="auto"/>
            </w:tcBorders>
            <w:shd w:val="clear" w:color="000000" w:fill="C0C0C0"/>
            <w:hideMark/>
          </w:tcPr>
          <w:p w:rsidR="00654530" w:rsidRPr="00654530" w:rsidRDefault="00654530" w:rsidP="00654530">
            <w:pPr>
              <w:jc w:val="center"/>
              <w:rPr>
                <w:rFonts w:eastAsia="Times New Roman" w:cs="Arial"/>
                <w:b/>
                <w:bCs/>
                <w:color w:val="000000"/>
                <w:lang w:eastAsia="en-GB"/>
              </w:rPr>
            </w:pPr>
            <w:r w:rsidRPr="00654530">
              <w:rPr>
                <w:rFonts w:eastAsia="Times New Roman" w:cs="Arial"/>
                <w:b/>
                <w:bCs/>
                <w:color w:val="000000"/>
                <w:lang w:eastAsia="en-GB"/>
              </w:rPr>
              <w:t>Annual Budget</w:t>
            </w:r>
          </w:p>
        </w:tc>
        <w:tc>
          <w:tcPr>
            <w:tcW w:w="1440" w:type="dxa"/>
            <w:tcBorders>
              <w:top w:val="single" w:sz="8" w:space="0" w:color="auto"/>
              <w:left w:val="nil"/>
              <w:bottom w:val="nil"/>
              <w:right w:val="single" w:sz="8" w:space="0" w:color="auto"/>
            </w:tcBorders>
            <w:shd w:val="clear" w:color="000000" w:fill="C0C0C0"/>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YTD Budget</w:t>
            </w:r>
          </w:p>
        </w:tc>
        <w:tc>
          <w:tcPr>
            <w:tcW w:w="1440" w:type="dxa"/>
            <w:tcBorders>
              <w:top w:val="single" w:sz="8" w:space="0" w:color="auto"/>
              <w:left w:val="nil"/>
              <w:bottom w:val="nil"/>
              <w:right w:val="single" w:sz="8" w:space="0" w:color="auto"/>
            </w:tcBorders>
            <w:shd w:val="clear" w:color="000000" w:fill="C0C0C0"/>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YTD Actual</w:t>
            </w:r>
          </w:p>
        </w:tc>
        <w:tc>
          <w:tcPr>
            <w:tcW w:w="1440" w:type="dxa"/>
            <w:tcBorders>
              <w:top w:val="single" w:sz="8" w:space="0" w:color="auto"/>
              <w:left w:val="nil"/>
              <w:bottom w:val="nil"/>
              <w:right w:val="single" w:sz="8" w:space="0" w:color="auto"/>
            </w:tcBorders>
            <w:shd w:val="clear" w:color="000000" w:fill="C0C0C0"/>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Variance Fav/</w:t>
            </w:r>
            <w:r w:rsidRPr="00654530">
              <w:rPr>
                <w:rFonts w:eastAsia="Times New Roman" w:cs="Arial"/>
                <w:b/>
                <w:bCs/>
                <w:color w:val="FF0000"/>
                <w:lang w:eastAsia="en-GB"/>
              </w:rPr>
              <w:t>(Adv)</w:t>
            </w:r>
          </w:p>
        </w:tc>
      </w:tr>
      <w:tr w:rsidR="00654530" w:rsidRPr="00654530" w:rsidTr="00654530">
        <w:trPr>
          <w:trHeight w:val="402"/>
        </w:trPr>
        <w:tc>
          <w:tcPr>
            <w:tcW w:w="4520" w:type="dxa"/>
            <w:tcBorders>
              <w:top w:val="nil"/>
              <w:left w:val="single" w:sz="8" w:space="0" w:color="auto"/>
              <w:bottom w:val="single" w:sz="8" w:space="0" w:color="auto"/>
              <w:right w:val="single" w:sz="8" w:space="0" w:color="auto"/>
            </w:tcBorders>
            <w:shd w:val="clear" w:color="000000" w:fill="C0C0C0"/>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single" w:sz="8" w:space="0" w:color="auto"/>
              <w:right w:val="single" w:sz="8" w:space="0" w:color="auto"/>
            </w:tcBorders>
            <w:shd w:val="clear" w:color="000000" w:fill="C0C0C0"/>
            <w:noWrap/>
            <w:vAlign w:val="center"/>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£m</w:t>
            </w:r>
          </w:p>
        </w:tc>
        <w:tc>
          <w:tcPr>
            <w:tcW w:w="1440" w:type="dxa"/>
            <w:tcBorders>
              <w:top w:val="nil"/>
              <w:left w:val="nil"/>
              <w:bottom w:val="single" w:sz="8" w:space="0" w:color="auto"/>
              <w:right w:val="single" w:sz="8" w:space="0" w:color="auto"/>
            </w:tcBorders>
            <w:shd w:val="clear" w:color="000000" w:fill="C0C0C0"/>
            <w:noWrap/>
            <w:vAlign w:val="center"/>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£m</w:t>
            </w:r>
          </w:p>
        </w:tc>
        <w:tc>
          <w:tcPr>
            <w:tcW w:w="1440" w:type="dxa"/>
            <w:tcBorders>
              <w:top w:val="nil"/>
              <w:left w:val="nil"/>
              <w:bottom w:val="single" w:sz="8" w:space="0" w:color="auto"/>
              <w:right w:val="single" w:sz="8" w:space="0" w:color="auto"/>
            </w:tcBorders>
            <w:shd w:val="clear" w:color="000000" w:fill="C0C0C0"/>
            <w:noWrap/>
            <w:vAlign w:val="center"/>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£m</w:t>
            </w:r>
          </w:p>
        </w:tc>
        <w:tc>
          <w:tcPr>
            <w:tcW w:w="1440" w:type="dxa"/>
            <w:tcBorders>
              <w:top w:val="nil"/>
              <w:left w:val="nil"/>
              <w:bottom w:val="single" w:sz="8" w:space="0" w:color="auto"/>
              <w:right w:val="single" w:sz="8" w:space="0" w:color="auto"/>
            </w:tcBorders>
            <w:shd w:val="clear" w:color="000000" w:fill="C0C0C0"/>
            <w:noWrap/>
            <w:vAlign w:val="center"/>
            <w:hideMark/>
          </w:tcPr>
          <w:p w:rsidR="00654530" w:rsidRPr="00654530" w:rsidRDefault="00654530" w:rsidP="00654530">
            <w:pPr>
              <w:jc w:val="center"/>
              <w:rPr>
                <w:rFonts w:eastAsia="Times New Roman" w:cs="Arial"/>
                <w:b/>
                <w:bCs/>
                <w:lang w:eastAsia="en-GB"/>
              </w:rPr>
            </w:pPr>
            <w:r w:rsidRPr="00654530">
              <w:rPr>
                <w:rFonts w:eastAsia="Times New Roman" w:cs="Arial"/>
                <w:b/>
                <w:bCs/>
                <w:lang w:eastAsia="en-GB"/>
              </w:rPr>
              <w:t>£m</w:t>
            </w:r>
          </w:p>
        </w:tc>
      </w:tr>
      <w:tr w:rsidR="00654530"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Central Income:</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r>
      <w:tr w:rsidR="00F9553E" w:rsidRPr="00654530" w:rsidTr="00F9553E">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NHS Clinical Income</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324.32</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104.43</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102.26</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F9553E">
              <w:rPr>
                <w:color w:val="FF0000"/>
              </w:rPr>
              <w:t>(2.18)</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Other Clinical Income</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1.60</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0.53</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0.67</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0.14</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Education Income</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8.45</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2.93</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2.98</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0.05</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Other Agreement Income</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4.43</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1.46</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1.46</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(0.01)</w:t>
            </w:r>
          </w:p>
        </w:tc>
      </w:tr>
      <w:tr w:rsidR="00F9553E" w:rsidRPr="00654530" w:rsidTr="00F9553E">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Other Income</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0.11</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0.04</w:t>
            </w:r>
          </w:p>
        </w:tc>
        <w:tc>
          <w:tcPr>
            <w:tcW w:w="1440" w:type="dxa"/>
            <w:tcBorders>
              <w:top w:val="nil"/>
              <w:left w:val="nil"/>
              <w:bottom w:val="nil"/>
              <w:right w:val="single" w:sz="8" w:space="0" w:color="auto"/>
            </w:tcBorders>
            <w:shd w:val="clear" w:color="auto" w:fill="auto"/>
            <w:noWrap/>
            <w:vAlign w:val="center"/>
            <w:hideMark/>
          </w:tcPr>
          <w:p w:rsidR="00F9553E" w:rsidRPr="00562E39" w:rsidRDefault="00F9553E" w:rsidP="00F9553E">
            <w:pPr>
              <w:jc w:val="right"/>
            </w:pPr>
            <w:r w:rsidRPr="00562E39">
              <w:t>0.02</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(0.02)</w:t>
            </w:r>
          </w:p>
        </w:tc>
      </w:tr>
      <w:tr w:rsidR="00F9553E" w:rsidRPr="00654530" w:rsidTr="00F9553E">
        <w:trPr>
          <w:trHeight w:val="315"/>
        </w:trPr>
        <w:tc>
          <w:tcPr>
            <w:tcW w:w="4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9553E" w:rsidRPr="00654530" w:rsidRDefault="00F9553E" w:rsidP="00654530">
            <w:pPr>
              <w:jc w:val="left"/>
              <w:rPr>
                <w:rFonts w:eastAsia="Times New Roman" w:cs="Arial"/>
                <w:b/>
                <w:bCs/>
                <w:lang w:eastAsia="en-GB"/>
              </w:rPr>
            </w:pPr>
            <w:r w:rsidRPr="00654530">
              <w:rPr>
                <w:rFonts w:eastAsia="Times New Roman" w:cs="Arial"/>
                <w:b/>
                <w:bCs/>
                <w:lang w:eastAsia="en-GB"/>
              </w:rPr>
              <w:t>Total Central Income</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562E39" w:rsidRDefault="00F9553E" w:rsidP="00F9553E">
            <w:pPr>
              <w:jc w:val="right"/>
            </w:pPr>
            <w:r w:rsidRPr="00562E39">
              <w:t>338.92</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562E39" w:rsidRDefault="00F9553E" w:rsidP="00F9553E">
            <w:pPr>
              <w:jc w:val="right"/>
            </w:pPr>
            <w:r w:rsidRPr="00562E39">
              <w:t>109.39</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562E39" w:rsidRDefault="00F9553E" w:rsidP="00F9553E">
            <w:pPr>
              <w:jc w:val="right"/>
            </w:pPr>
            <w:r w:rsidRPr="00562E39">
              <w:t>107.38</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(2.01)</w:t>
            </w:r>
          </w:p>
        </w:tc>
      </w:tr>
      <w:tr w:rsidR="00654530"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Corporate Directorates:</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r>
      <w:tr w:rsidR="00F9553E" w:rsidRPr="00654530" w:rsidTr="00F9553E">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Trust Management</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(0.83)</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(0.29)</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(0.28)</w:t>
            </w:r>
          </w:p>
        </w:tc>
        <w:tc>
          <w:tcPr>
            <w:tcW w:w="1440" w:type="dxa"/>
            <w:tcBorders>
              <w:top w:val="nil"/>
              <w:left w:val="nil"/>
              <w:bottom w:val="nil"/>
              <w:right w:val="single" w:sz="8" w:space="0" w:color="auto"/>
            </w:tcBorders>
            <w:shd w:val="clear" w:color="auto" w:fill="auto"/>
            <w:noWrap/>
            <w:vAlign w:val="center"/>
            <w:hideMark/>
          </w:tcPr>
          <w:p w:rsidR="00F9553E" w:rsidRPr="00096283" w:rsidRDefault="00F9553E" w:rsidP="00F9553E">
            <w:pPr>
              <w:jc w:val="right"/>
            </w:pPr>
            <w:r w:rsidRPr="00096283">
              <w:t>0.01</w:t>
            </w:r>
          </w:p>
        </w:tc>
      </w:tr>
      <w:tr w:rsidR="00F9553E" w:rsidRPr="00654530" w:rsidTr="00F9553E">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Medical Director's Office</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(2.90)</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(1.02)</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(0.96)</w:t>
            </w:r>
          </w:p>
        </w:tc>
        <w:tc>
          <w:tcPr>
            <w:tcW w:w="1440" w:type="dxa"/>
            <w:tcBorders>
              <w:top w:val="nil"/>
              <w:left w:val="nil"/>
              <w:bottom w:val="nil"/>
              <w:right w:val="single" w:sz="8" w:space="0" w:color="auto"/>
            </w:tcBorders>
            <w:shd w:val="clear" w:color="auto" w:fill="auto"/>
            <w:noWrap/>
            <w:vAlign w:val="center"/>
            <w:hideMark/>
          </w:tcPr>
          <w:p w:rsidR="00F9553E" w:rsidRPr="00096283" w:rsidRDefault="00F9553E" w:rsidP="00F9553E">
            <w:pPr>
              <w:jc w:val="right"/>
            </w:pPr>
            <w:r w:rsidRPr="00096283">
              <w:t>0.06</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Governance and Performance Assurance</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(1.43)</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(0.48)</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(0.44)</w:t>
            </w:r>
          </w:p>
        </w:tc>
        <w:tc>
          <w:tcPr>
            <w:tcW w:w="1440" w:type="dxa"/>
            <w:tcBorders>
              <w:top w:val="nil"/>
              <w:left w:val="nil"/>
              <w:bottom w:val="nil"/>
              <w:right w:val="single" w:sz="8" w:space="0" w:color="auto"/>
            </w:tcBorders>
            <w:shd w:val="clear" w:color="auto" w:fill="auto"/>
            <w:noWrap/>
            <w:vAlign w:val="center"/>
            <w:hideMark/>
          </w:tcPr>
          <w:p w:rsidR="00F9553E" w:rsidRPr="00096283" w:rsidRDefault="00F9553E" w:rsidP="00F9553E">
            <w:pPr>
              <w:jc w:val="right"/>
            </w:pPr>
            <w:r w:rsidRPr="00096283">
              <w:t>0.04</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Finance and Procurement</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(3.74)</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(1.24)</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(1.16)</w:t>
            </w:r>
          </w:p>
        </w:tc>
        <w:tc>
          <w:tcPr>
            <w:tcW w:w="1440" w:type="dxa"/>
            <w:tcBorders>
              <w:top w:val="nil"/>
              <w:left w:val="nil"/>
              <w:bottom w:val="nil"/>
              <w:right w:val="single" w:sz="8" w:space="0" w:color="auto"/>
            </w:tcBorders>
            <w:shd w:val="clear" w:color="auto" w:fill="auto"/>
            <w:noWrap/>
            <w:vAlign w:val="center"/>
            <w:hideMark/>
          </w:tcPr>
          <w:p w:rsidR="00F9553E" w:rsidRPr="00096283" w:rsidRDefault="00F9553E" w:rsidP="00F9553E">
            <w:pPr>
              <w:jc w:val="right"/>
            </w:pPr>
            <w:r w:rsidRPr="00096283">
              <w:t>0.09</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Human Resources</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(4.21)</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(1.41)</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(1.47)</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(0.06)</w:t>
            </w:r>
          </w:p>
        </w:tc>
      </w:tr>
      <w:tr w:rsidR="00F9553E" w:rsidRPr="00654530" w:rsidTr="00F9553E">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Chief Nurse's Office</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(3.78)</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(1.22)</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(1.27)</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(0.05)</w:t>
            </w:r>
          </w:p>
        </w:tc>
      </w:tr>
      <w:tr w:rsidR="00F9553E" w:rsidRPr="00654530" w:rsidTr="00F9553E">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Strategy and Planning</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(8.02)</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(2.61)</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(2.61)</w:t>
            </w:r>
          </w:p>
        </w:tc>
        <w:tc>
          <w:tcPr>
            <w:tcW w:w="1440" w:type="dxa"/>
            <w:tcBorders>
              <w:top w:val="nil"/>
              <w:left w:val="nil"/>
              <w:bottom w:val="nil"/>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(0.00)</w:t>
            </w:r>
          </w:p>
        </w:tc>
      </w:tr>
      <w:tr w:rsidR="00F9553E" w:rsidRPr="00654530" w:rsidTr="00F9553E">
        <w:trPr>
          <w:trHeight w:val="315"/>
        </w:trPr>
        <w:tc>
          <w:tcPr>
            <w:tcW w:w="4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9553E" w:rsidRPr="00654530" w:rsidRDefault="00F9553E" w:rsidP="00654530">
            <w:pPr>
              <w:jc w:val="left"/>
              <w:rPr>
                <w:rFonts w:eastAsia="Times New Roman" w:cs="Arial"/>
                <w:b/>
                <w:bCs/>
                <w:lang w:eastAsia="en-GB"/>
              </w:rPr>
            </w:pPr>
            <w:r w:rsidRPr="00654530">
              <w:rPr>
                <w:rFonts w:eastAsia="Times New Roman" w:cs="Arial"/>
                <w:b/>
                <w:bCs/>
                <w:lang w:eastAsia="en-GB"/>
              </w:rPr>
              <w:t>Total Corporate Directorates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(24.90)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(8.26)</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Pr="00F9553E" w:rsidRDefault="00F9553E" w:rsidP="00F9553E">
            <w:pPr>
              <w:jc w:val="right"/>
              <w:rPr>
                <w:color w:val="FF0000"/>
              </w:rPr>
            </w:pPr>
            <w:r w:rsidRPr="00F9553E">
              <w:rPr>
                <w:color w:val="FF0000"/>
              </w:rPr>
              <w:t>(8.19)</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Default="00F9553E" w:rsidP="00F9553E">
            <w:pPr>
              <w:jc w:val="right"/>
            </w:pPr>
            <w:r w:rsidRPr="00096283">
              <w:t>0.07</w:t>
            </w:r>
          </w:p>
        </w:tc>
      </w:tr>
      <w:tr w:rsidR="00654530"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Facilities Management &amp; Soft Services:</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Facilities Management</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(0.56)</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(0.19)</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(0.18)</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0.00</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Estates Services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(9.25)</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(2.97)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(3.19)</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(0.22)</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Commercial Services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(0.52)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(0.20)</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(0.03)</w:t>
            </w:r>
          </w:p>
        </w:tc>
      </w:tr>
      <w:tr w:rsidR="00F9553E" w:rsidRPr="00654530" w:rsidTr="00654530">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Compliance</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(0.53)</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(0.14)</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(0.13)</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0.01</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Facilities Services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(13.44)</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(4.47)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(4.62)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(0.15)</w:t>
            </w:r>
          </w:p>
        </w:tc>
      </w:tr>
      <w:tr w:rsidR="00F9553E" w:rsidRPr="00654530" w:rsidTr="00654530">
        <w:trPr>
          <w:trHeight w:val="315"/>
        </w:trPr>
        <w:tc>
          <w:tcPr>
            <w:tcW w:w="4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9553E" w:rsidRPr="00654530" w:rsidRDefault="00F9553E" w:rsidP="00654530">
            <w:pPr>
              <w:jc w:val="left"/>
              <w:rPr>
                <w:rFonts w:eastAsia="Times New Roman" w:cs="Arial"/>
                <w:b/>
                <w:bCs/>
                <w:lang w:eastAsia="en-GB"/>
              </w:rPr>
            </w:pPr>
            <w:r w:rsidRPr="00654530">
              <w:rPr>
                <w:rFonts w:eastAsia="Times New Roman" w:cs="Arial"/>
                <w:b/>
                <w:bCs/>
                <w:lang w:eastAsia="en-GB"/>
              </w:rPr>
              <w:t>Facilities Management &amp; Soft Services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Default="00F9553E">
            <w:pPr>
              <w:jc w:val="right"/>
              <w:rPr>
                <w:rFonts w:cs="Arial"/>
                <w:b/>
                <w:bCs/>
              </w:rPr>
            </w:pPr>
            <w:r>
              <w:rPr>
                <w:rFonts w:cs="Arial"/>
                <w:b/>
                <w:bCs/>
                <w:color w:val="FF0000"/>
              </w:rPr>
              <w:t>(24.30)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Default="00F9553E">
            <w:pPr>
              <w:jc w:val="right"/>
              <w:rPr>
                <w:rFonts w:cs="Arial"/>
                <w:b/>
                <w:bCs/>
              </w:rPr>
            </w:pPr>
            <w:r>
              <w:rPr>
                <w:rFonts w:cs="Arial"/>
                <w:b/>
                <w:bCs/>
                <w:color w:val="FF0000"/>
              </w:rPr>
              <w:t>(7.94)</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Default="00F9553E">
            <w:pPr>
              <w:jc w:val="right"/>
              <w:rPr>
                <w:rFonts w:cs="Arial"/>
                <w:b/>
                <w:bCs/>
              </w:rPr>
            </w:pPr>
            <w:r>
              <w:rPr>
                <w:rFonts w:cs="Arial"/>
                <w:b/>
                <w:bCs/>
                <w:color w:val="FF0000"/>
              </w:rPr>
              <w:t>(8.33)</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F9553E" w:rsidRDefault="00F9553E">
            <w:pPr>
              <w:jc w:val="right"/>
              <w:rPr>
                <w:rFonts w:cs="Arial"/>
                <w:b/>
                <w:bCs/>
              </w:rPr>
            </w:pPr>
            <w:r>
              <w:rPr>
                <w:rFonts w:cs="Arial"/>
                <w:b/>
                <w:bCs/>
                <w:color w:val="FF0000"/>
              </w:rPr>
              <w:t>(0.39)</w:t>
            </w:r>
          </w:p>
        </w:tc>
      </w:tr>
      <w:tr w:rsidR="00654530"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Operations:</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lang w:eastAsia="en-GB"/>
              </w:rPr>
            </w:pPr>
            <w:r w:rsidRPr="00654530">
              <w:rPr>
                <w:rFonts w:eastAsia="Times New Roman"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r>
      <w:tr w:rsidR="00F9553E" w:rsidRPr="00654530" w:rsidTr="00654530">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Operations Directorate</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(4.07)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(1.94)</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(2.02)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(0.08)</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Surgery &amp; Critical Care</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(75.08)</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(25.19)</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(26.19)</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(1.00)</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Medicine</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(98.37)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(33.48)</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(34.70)</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(1.22)</w:t>
            </w:r>
          </w:p>
        </w:tc>
      </w:tr>
      <w:tr w:rsidR="00F9553E"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Women &amp; Childrens Services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(35.55)</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(11.78)</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(11.88)</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(0.09)</w:t>
            </w:r>
          </w:p>
        </w:tc>
      </w:tr>
      <w:tr w:rsidR="00F9553E" w:rsidRPr="00654530" w:rsidTr="00654530">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Therapy &amp; Community Services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(26.12)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(8.57)</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(8.52)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0.06</w:t>
            </w:r>
          </w:p>
        </w:tc>
      </w:tr>
      <w:tr w:rsidR="00F9553E" w:rsidRPr="00654530" w:rsidTr="00C1264B">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Clinical Support Services</w:t>
            </w:r>
            <w:r>
              <w:rPr>
                <w:rFonts w:eastAsia="Times New Roman" w:cs="Arial"/>
                <w:lang w:eastAsia="en-GB"/>
              </w:rPr>
              <w:t xml:space="preserve"> incl Pathlinks</w:t>
            </w:r>
          </w:p>
        </w:tc>
        <w:tc>
          <w:tcPr>
            <w:tcW w:w="1440" w:type="dxa"/>
            <w:tcBorders>
              <w:top w:val="nil"/>
              <w:left w:val="nil"/>
              <w:bottom w:val="nil"/>
              <w:right w:val="single" w:sz="8" w:space="0" w:color="auto"/>
            </w:tcBorders>
            <w:shd w:val="clear" w:color="auto" w:fill="auto"/>
            <w:noWrap/>
            <w:vAlign w:val="bottom"/>
            <w:hideMark/>
          </w:tcPr>
          <w:p w:rsidR="00F9553E" w:rsidRDefault="00F9553E">
            <w:pPr>
              <w:jc w:val="right"/>
              <w:rPr>
                <w:rFonts w:cs="Arial"/>
              </w:rPr>
            </w:pPr>
            <w:r>
              <w:rPr>
                <w:rFonts w:cs="Arial"/>
                <w:color w:val="FF0000"/>
              </w:rPr>
              <w:t>(51.60)</w:t>
            </w:r>
          </w:p>
        </w:tc>
        <w:tc>
          <w:tcPr>
            <w:tcW w:w="1440" w:type="dxa"/>
            <w:tcBorders>
              <w:top w:val="nil"/>
              <w:left w:val="nil"/>
              <w:bottom w:val="nil"/>
              <w:right w:val="single" w:sz="8" w:space="0" w:color="auto"/>
            </w:tcBorders>
            <w:shd w:val="clear" w:color="auto" w:fill="auto"/>
            <w:noWrap/>
            <w:vAlign w:val="bottom"/>
            <w:hideMark/>
          </w:tcPr>
          <w:p w:rsidR="00F9553E" w:rsidRDefault="00F9553E">
            <w:pPr>
              <w:jc w:val="right"/>
              <w:rPr>
                <w:rFonts w:cs="Arial"/>
              </w:rPr>
            </w:pPr>
            <w:r>
              <w:rPr>
                <w:rFonts w:cs="Arial"/>
                <w:color w:val="FF0000"/>
              </w:rPr>
              <w:t>(17.26)</w:t>
            </w:r>
          </w:p>
        </w:tc>
        <w:tc>
          <w:tcPr>
            <w:tcW w:w="1440" w:type="dxa"/>
            <w:tcBorders>
              <w:top w:val="nil"/>
              <w:left w:val="nil"/>
              <w:bottom w:val="nil"/>
              <w:right w:val="single" w:sz="8" w:space="0" w:color="auto"/>
            </w:tcBorders>
            <w:shd w:val="clear" w:color="auto" w:fill="auto"/>
            <w:noWrap/>
            <w:vAlign w:val="bottom"/>
            <w:hideMark/>
          </w:tcPr>
          <w:p w:rsidR="00F9553E" w:rsidRDefault="00F9553E">
            <w:pPr>
              <w:jc w:val="right"/>
              <w:rPr>
                <w:rFonts w:cs="Arial"/>
              </w:rPr>
            </w:pPr>
            <w:r>
              <w:rPr>
                <w:rFonts w:cs="Arial"/>
                <w:color w:val="FF0000"/>
              </w:rPr>
              <w:t>(17.45)</w:t>
            </w:r>
          </w:p>
        </w:tc>
        <w:tc>
          <w:tcPr>
            <w:tcW w:w="1440" w:type="dxa"/>
            <w:tcBorders>
              <w:top w:val="nil"/>
              <w:left w:val="nil"/>
              <w:bottom w:val="nil"/>
              <w:right w:val="single" w:sz="8" w:space="0" w:color="auto"/>
            </w:tcBorders>
            <w:shd w:val="clear" w:color="auto" w:fill="auto"/>
            <w:noWrap/>
            <w:vAlign w:val="bottom"/>
            <w:hideMark/>
          </w:tcPr>
          <w:p w:rsidR="00F9553E" w:rsidRDefault="00F9553E">
            <w:pPr>
              <w:jc w:val="right"/>
              <w:rPr>
                <w:rFonts w:cs="Arial"/>
              </w:rPr>
            </w:pPr>
            <w:r>
              <w:rPr>
                <w:rFonts w:cs="Arial"/>
                <w:color w:val="FF0000"/>
              </w:rPr>
              <w:t>(0.19)</w:t>
            </w:r>
          </w:p>
        </w:tc>
      </w:tr>
      <w:tr w:rsidR="00F9553E" w:rsidRPr="00654530" w:rsidTr="00C1264B">
        <w:trPr>
          <w:trHeight w:val="315"/>
        </w:trPr>
        <w:tc>
          <w:tcPr>
            <w:tcW w:w="4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9553E" w:rsidRPr="00654530" w:rsidRDefault="00F9553E" w:rsidP="00654530">
            <w:pPr>
              <w:jc w:val="left"/>
              <w:rPr>
                <w:rFonts w:eastAsia="Times New Roman" w:cs="Arial"/>
                <w:b/>
                <w:bCs/>
                <w:lang w:eastAsia="en-GB"/>
              </w:rPr>
            </w:pPr>
            <w:r w:rsidRPr="00654530">
              <w:rPr>
                <w:rFonts w:eastAsia="Times New Roman" w:cs="Arial"/>
                <w:b/>
                <w:bCs/>
                <w:lang w:eastAsia="en-GB"/>
              </w:rPr>
              <w:t>Total Operations</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F9553E" w:rsidRDefault="00F9553E">
            <w:pPr>
              <w:jc w:val="right"/>
              <w:rPr>
                <w:rFonts w:cs="Arial"/>
              </w:rPr>
            </w:pPr>
            <w:r>
              <w:rPr>
                <w:rFonts w:cs="Arial"/>
                <w:color w:val="FF0000"/>
              </w:rPr>
              <w:t>(290.78)</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F9553E" w:rsidRDefault="00F9553E">
            <w:pPr>
              <w:jc w:val="right"/>
              <w:rPr>
                <w:rFonts w:cs="Arial"/>
              </w:rPr>
            </w:pPr>
            <w:r>
              <w:rPr>
                <w:rFonts w:cs="Arial"/>
                <w:color w:val="FF0000"/>
              </w:rPr>
              <w:t>(98.22)</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F9553E" w:rsidRDefault="00F9553E">
            <w:pPr>
              <w:jc w:val="right"/>
              <w:rPr>
                <w:rFonts w:cs="Arial"/>
              </w:rPr>
            </w:pPr>
            <w:r>
              <w:rPr>
                <w:rFonts w:cs="Arial"/>
                <w:color w:val="FF0000"/>
              </w:rPr>
              <w:t>(100.75)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F9553E" w:rsidRDefault="00F9553E">
            <w:pPr>
              <w:jc w:val="right"/>
              <w:rPr>
                <w:rFonts w:cs="Arial"/>
              </w:rPr>
            </w:pPr>
            <w:r>
              <w:rPr>
                <w:rFonts w:cs="Arial"/>
                <w:color w:val="FF0000"/>
              </w:rPr>
              <w:t>(2.53)</w:t>
            </w:r>
          </w:p>
        </w:tc>
      </w:tr>
      <w:tr w:rsidR="00654530" w:rsidRPr="00654530" w:rsidTr="00654530">
        <w:trPr>
          <w:trHeight w:val="300"/>
        </w:trPr>
        <w:tc>
          <w:tcPr>
            <w:tcW w:w="4520" w:type="dxa"/>
            <w:tcBorders>
              <w:top w:val="nil"/>
              <w:left w:val="single" w:sz="8" w:space="0" w:color="auto"/>
              <w:bottom w:val="nil"/>
              <w:right w:val="single" w:sz="8" w:space="0" w:color="auto"/>
            </w:tcBorders>
            <w:shd w:val="clear" w:color="auto" w:fill="auto"/>
            <w:noWrap/>
            <w:vAlign w:val="center"/>
            <w:hideMark/>
          </w:tcPr>
          <w:p w:rsidR="00654530" w:rsidRPr="00654530" w:rsidRDefault="00654530" w:rsidP="00654530">
            <w:pPr>
              <w:jc w:val="left"/>
              <w:rPr>
                <w:rFonts w:eastAsia="Times New Roman" w:cs="Arial"/>
                <w:b/>
                <w:bCs/>
                <w:lang w:eastAsia="en-GB"/>
              </w:rPr>
            </w:pPr>
            <w:r w:rsidRPr="00654530">
              <w:rPr>
                <w:rFonts w:eastAsia="Times New Roman" w:cs="Arial"/>
                <w:b/>
                <w:bCs/>
                <w:lang w:eastAsia="en-GB"/>
              </w:rPr>
              <w:t>Corporate &amp; Capital Charges:</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left"/>
              <w:rPr>
                <w:rFonts w:ascii="Calibri" w:eastAsia="Times New Roman" w:hAnsi="Calibri" w:cs="Arial"/>
                <w:lang w:eastAsia="en-GB"/>
              </w:rPr>
            </w:pPr>
            <w:r w:rsidRPr="00654530">
              <w:rPr>
                <w:rFonts w:ascii="Calibri" w:eastAsia="Times New Roman" w:hAnsi="Calibri"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left"/>
              <w:rPr>
                <w:rFonts w:ascii="Calibri" w:eastAsia="Times New Roman" w:hAnsi="Calibri" w:cs="Arial"/>
                <w:lang w:eastAsia="en-GB"/>
              </w:rPr>
            </w:pPr>
            <w:r w:rsidRPr="00654530">
              <w:rPr>
                <w:rFonts w:ascii="Calibri" w:eastAsia="Times New Roman" w:hAnsi="Calibri"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left"/>
              <w:rPr>
                <w:rFonts w:ascii="Calibri" w:eastAsia="Times New Roman" w:hAnsi="Calibri" w:cs="Arial"/>
                <w:lang w:eastAsia="en-GB"/>
              </w:rPr>
            </w:pPr>
            <w:r w:rsidRPr="00654530">
              <w:rPr>
                <w:rFonts w:ascii="Calibri" w:eastAsia="Times New Roman" w:hAnsi="Calibri" w:cs="Arial"/>
                <w:lang w:eastAsia="en-GB"/>
              </w:rPr>
              <w:t> </w:t>
            </w:r>
          </w:p>
        </w:tc>
        <w:tc>
          <w:tcPr>
            <w:tcW w:w="1440" w:type="dxa"/>
            <w:tcBorders>
              <w:top w:val="nil"/>
              <w:left w:val="nil"/>
              <w:bottom w:val="nil"/>
              <w:right w:val="single" w:sz="8" w:space="0" w:color="auto"/>
            </w:tcBorders>
            <w:shd w:val="clear" w:color="auto" w:fill="auto"/>
            <w:noWrap/>
            <w:vAlign w:val="center"/>
            <w:hideMark/>
          </w:tcPr>
          <w:p w:rsidR="00654530" w:rsidRPr="00654530" w:rsidRDefault="00654530" w:rsidP="00654530">
            <w:pPr>
              <w:jc w:val="right"/>
              <w:rPr>
                <w:rFonts w:eastAsia="Times New Roman" w:cs="Arial"/>
                <w:b/>
                <w:bCs/>
                <w:lang w:eastAsia="en-GB"/>
              </w:rPr>
            </w:pPr>
            <w:r w:rsidRPr="00654530">
              <w:rPr>
                <w:rFonts w:eastAsia="Times New Roman" w:cs="Arial"/>
                <w:b/>
                <w:bCs/>
                <w:lang w:eastAsia="en-GB"/>
              </w:rPr>
              <w:t> </w:t>
            </w:r>
          </w:p>
        </w:tc>
      </w:tr>
      <w:tr w:rsidR="00F9553E" w:rsidRPr="00654530" w:rsidTr="00654530">
        <w:trPr>
          <w:trHeight w:val="28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Corporate and Capital Charges Budgets:</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(24.12)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(9.35)</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(9.30)</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0.05</w:t>
            </w:r>
          </w:p>
        </w:tc>
      </w:tr>
      <w:tr w:rsidR="00F9553E" w:rsidRPr="00654530" w:rsidTr="00654530">
        <w:trPr>
          <w:trHeight w:val="315"/>
        </w:trPr>
        <w:tc>
          <w:tcPr>
            <w:tcW w:w="4520" w:type="dxa"/>
            <w:tcBorders>
              <w:top w:val="nil"/>
              <w:left w:val="single" w:sz="8" w:space="0" w:color="auto"/>
              <w:bottom w:val="nil"/>
              <w:right w:val="single" w:sz="8" w:space="0" w:color="auto"/>
            </w:tcBorders>
            <w:shd w:val="clear" w:color="auto" w:fill="auto"/>
            <w:noWrap/>
            <w:vAlign w:val="center"/>
            <w:hideMark/>
          </w:tcPr>
          <w:p w:rsidR="00F9553E" w:rsidRPr="00654530" w:rsidRDefault="00F9553E" w:rsidP="00654530">
            <w:pPr>
              <w:jc w:val="left"/>
              <w:rPr>
                <w:rFonts w:eastAsia="Times New Roman" w:cs="Arial"/>
                <w:lang w:eastAsia="en-GB"/>
              </w:rPr>
            </w:pPr>
            <w:r w:rsidRPr="00654530">
              <w:rPr>
                <w:rFonts w:eastAsia="Times New Roman" w:cs="Arial"/>
                <w:lang w:eastAsia="en-GB"/>
              </w:rPr>
              <w:t>Trust Earmarked Reserves Not Yet Drawn</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(6.12)</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color w:val="FF0000"/>
              </w:rPr>
              <w:t>(1.39)</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0.00</w:t>
            </w:r>
          </w:p>
        </w:tc>
        <w:tc>
          <w:tcPr>
            <w:tcW w:w="1440" w:type="dxa"/>
            <w:tcBorders>
              <w:top w:val="nil"/>
              <w:left w:val="nil"/>
              <w:bottom w:val="nil"/>
              <w:right w:val="single" w:sz="8" w:space="0" w:color="auto"/>
            </w:tcBorders>
            <w:shd w:val="clear" w:color="auto" w:fill="auto"/>
            <w:noWrap/>
            <w:vAlign w:val="center"/>
            <w:hideMark/>
          </w:tcPr>
          <w:p w:rsidR="00F9553E" w:rsidRDefault="00F9553E">
            <w:pPr>
              <w:jc w:val="right"/>
              <w:rPr>
                <w:rFonts w:cs="Arial"/>
              </w:rPr>
            </w:pPr>
            <w:r>
              <w:rPr>
                <w:rFonts w:cs="Arial"/>
              </w:rPr>
              <w:t>1.39</w:t>
            </w:r>
          </w:p>
        </w:tc>
      </w:tr>
      <w:tr w:rsidR="000F47A3" w:rsidRPr="00654530" w:rsidTr="00654530">
        <w:trPr>
          <w:trHeight w:val="315"/>
        </w:trPr>
        <w:tc>
          <w:tcPr>
            <w:tcW w:w="4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47A3" w:rsidRPr="00654530" w:rsidRDefault="000F47A3" w:rsidP="00654530">
            <w:pPr>
              <w:jc w:val="left"/>
              <w:rPr>
                <w:rFonts w:eastAsia="Times New Roman" w:cs="Arial"/>
                <w:b/>
                <w:bCs/>
                <w:lang w:eastAsia="en-GB"/>
              </w:rPr>
            </w:pPr>
            <w:r w:rsidRPr="00654530">
              <w:rPr>
                <w:rFonts w:eastAsia="Times New Roman" w:cs="Arial"/>
                <w:b/>
                <w:bCs/>
                <w:lang w:eastAsia="en-GB"/>
              </w:rPr>
              <w:t>Total Corporate &amp; Capital Charges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0F47A3" w:rsidRDefault="000F47A3">
            <w:pPr>
              <w:jc w:val="right"/>
              <w:rPr>
                <w:rFonts w:cs="Arial"/>
                <w:b/>
                <w:bCs/>
              </w:rPr>
            </w:pPr>
            <w:r>
              <w:rPr>
                <w:rFonts w:cs="Arial"/>
                <w:b/>
                <w:bCs/>
                <w:color w:val="FF0000"/>
              </w:rPr>
              <w:t>(30.23)</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0F47A3" w:rsidRDefault="000F47A3">
            <w:pPr>
              <w:jc w:val="right"/>
              <w:rPr>
                <w:rFonts w:cs="Arial"/>
                <w:b/>
                <w:bCs/>
              </w:rPr>
            </w:pPr>
            <w:r>
              <w:rPr>
                <w:rFonts w:cs="Arial"/>
                <w:b/>
                <w:bCs/>
                <w:color w:val="FF0000"/>
              </w:rPr>
              <w:t>(10.74)</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0F47A3" w:rsidRDefault="000F47A3">
            <w:pPr>
              <w:jc w:val="right"/>
              <w:rPr>
                <w:rFonts w:cs="Arial"/>
                <w:b/>
                <w:bCs/>
              </w:rPr>
            </w:pPr>
            <w:r>
              <w:rPr>
                <w:rFonts w:cs="Arial"/>
                <w:b/>
                <w:bCs/>
                <w:color w:val="FF0000"/>
              </w:rPr>
              <w:t>(9.30)</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0F47A3" w:rsidRDefault="000F47A3">
            <w:pPr>
              <w:jc w:val="right"/>
              <w:rPr>
                <w:rFonts w:cs="Arial"/>
                <w:b/>
                <w:bCs/>
              </w:rPr>
            </w:pPr>
            <w:r>
              <w:rPr>
                <w:rFonts w:cs="Arial"/>
                <w:b/>
                <w:bCs/>
              </w:rPr>
              <w:t>1.44</w:t>
            </w:r>
          </w:p>
        </w:tc>
      </w:tr>
      <w:tr w:rsidR="000F47A3" w:rsidRPr="00654530" w:rsidTr="00654530">
        <w:trPr>
          <w:trHeight w:val="315"/>
        </w:trPr>
        <w:tc>
          <w:tcPr>
            <w:tcW w:w="4520" w:type="dxa"/>
            <w:tcBorders>
              <w:top w:val="nil"/>
              <w:left w:val="single" w:sz="8" w:space="0" w:color="auto"/>
              <w:bottom w:val="single" w:sz="8" w:space="0" w:color="auto"/>
              <w:right w:val="single" w:sz="8" w:space="0" w:color="auto"/>
            </w:tcBorders>
            <w:shd w:val="clear" w:color="000000" w:fill="C0C0C0"/>
            <w:noWrap/>
            <w:vAlign w:val="center"/>
            <w:hideMark/>
          </w:tcPr>
          <w:p w:rsidR="000F47A3" w:rsidRPr="00654530" w:rsidRDefault="000F47A3" w:rsidP="00654530">
            <w:pPr>
              <w:jc w:val="left"/>
              <w:rPr>
                <w:rFonts w:eastAsia="Times New Roman" w:cs="Arial"/>
                <w:b/>
                <w:bCs/>
                <w:color w:val="000000"/>
                <w:lang w:eastAsia="en-GB"/>
              </w:rPr>
            </w:pPr>
            <w:r w:rsidRPr="00654530">
              <w:rPr>
                <w:rFonts w:eastAsia="Times New Roman" w:cs="Arial"/>
                <w:b/>
                <w:bCs/>
                <w:color w:val="000000"/>
                <w:lang w:eastAsia="en-GB"/>
              </w:rPr>
              <w:t>TRUST TOTAL</w:t>
            </w:r>
          </w:p>
        </w:tc>
        <w:tc>
          <w:tcPr>
            <w:tcW w:w="1440" w:type="dxa"/>
            <w:tcBorders>
              <w:top w:val="nil"/>
              <w:left w:val="nil"/>
              <w:bottom w:val="single" w:sz="8" w:space="0" w:color="auto"/>
              <w:right w:val="single" w:sz="8" w:space="0" w:color="auto"/>
            </w:tcBorders>
            <w:shd w:val="clear" w:color="000000" w:fill="BFBFBF"/>
            <w:noWrap/>
            <w:vAlign w:val="center"/>
            <w:hideMark/>
          </w:tcPr>
          <w:p w:rsidR="000F47A3" w:rsidRDefault="000F47A3">
            <w:pPr>
              <w:jc w:val="right"/>
              <w:rPr>
                <w:rFonts w:cs="Arial"/>
                <w:b/>
                <w:bCs/>
              </w:rPr>
            </w:pPr>
            <w:r>
              <w:rPr>
                <w:rFonts w:cs="Arial"/>
                <w:b/>
                <w:bCs/>
                <w:color w:val="FF0000"/>
              </w:rPr>
              <w:t>(31.29)</w:t>
            </w:r>
          </w:p>
        </w:tc>
        <w:tc>
          <w:tcPr>
            <w:tcW w:w="1440" w:type="dxa"/>
            <w:tcBorders>
              <w:top w:val="nil"/>
              <w:left w:val="nil"/>
              <w:bottom w:val="single" w:sz="8" w:space="0" w:color="auto"/>
              <w:right w:val="single" w:sz="8" w:space="0" w:color="auto"/>
            </w:tcBorders>
            <w:shd w:val="clear" w:color="000000" w:fill="BFBFBF"/>
            <w:noWrap/>
            <w:vAlign w:val="center"/>
            <w:hideMark/>
          </w:tcPr>
          <w:p w:rsidR="000F47A3" w:rsidRDefault="000F47A3">
            <w:pPr>
              <w:jc w:val="right"/>
              <w:rPr>
                <w:rFonts w:cs="Arial"/>
                <w:b/>
                <w:bCs/>
              </w:rPr>
            </w:pPr>
            <w:r>
              <w:rPr>
                <w:rFonts w:cs="Arial"/>
                <w:b/>
                <w:bCs/>
                <w:color w:val="FF0000"/>
              </w:rPr>
              <w:t>(15.77)</w:t>
            </w:r>
          </w:p>
        </w:tc>
        <w:tc>
          <w:tcPr>
            <w:tcW w:w="1440" w:type="dxa"/>
            <w:tcBorders>
              <w:top w:val="nil"/>
              <w:left w:val="nil"/>
              <w:bottom w:val="single" w:sz="8" w:space="0" w:color="auto"/>
              <w:right w:val="single" w:sz="8" w:space="0" w:color="auto"/>
            </w:tcBorders>
            <w:shd w:val="clear" w:color="000000" w:fill="BFBFBF"/>
            <w:noWrap/>
            <w:vAlign w:val="center"/>
            <w:hideMark/>
          </w:tcPr>
          <w:p w:rsidR="000F47A3" w:rsidRDefault="000F47A3">
            <w:pPr>
              <w:jc w:val="right"/>
              <w:rPr>
                <w:rFonts w:cs="Arial"/>
                <w:b/>
                <w:bCs/>
              </w:rPr>
            </w:pPr>
            <w:r>
              <w:rPr>
                <w:rFonts w:cs="Arial"/>
                <w:b/>
                <w:bCs/>
                <w:color w:val="FF0000"/>
              </w:rPr>
              <w:t>(19.18)</w:t>
            </w:r>
          </w:p>
        </w:tc>
        <w:tc>
          <w:tcPr>
            <w:tcW w:w="1440" w:type="dxa"/>
            <w:tcBorders>
              <w:top w:val="nil"/>
              <w:left w:val="nil"/>
              <w:bottom w:val="single" w:sz="8" w:space="0" w:color="auto"/>
              <w:right w:val="single" w:sz="8" w:space="0" w:color="auto"/>
            </w:tcBorders>
            <w:shd w:val="clear" w:color="000000" w:fill="BFBFBF"/>
            <w:noWrap/>
            <w:vAlign w:val="center"/>
            <w:hideMark/>
          </w:tcPr>
          <w:p w:rsidR="000F47A3" w:rsidRDefault="000F47A3">
            <w:pPr>
              <w:jc w:val="right"/>
              <w:rPr>
                <w:rFonts w:cs="Arial"/>
                <w:b/>
                <w:bCs/>
              </w:rPr>
            </w:pPr>
            <w:r>
              <w:rPr>
                <w:rFonts w:cs="Arial"/>
                <w:b/>
                <w:bCs/>
                <w:color w:val="FF0000"/>
              </w:rPr>
              <w:t>(3.41)</w:t>
            </w:r>
          </w:p>
        </w:tc>
      </w:tr>
    </w:tbl>
    <w:p w:rsidR="00654530" w:rsidRDefault="00654530" w:rsidP="00654530">
      <w:pPr>
        <w:rPr>
          <w:noProof/>
          <w:sz w:val="24"/>
          <w:szCs w:val="24"/>
          <w:lang w:eastAsia="en-GB"/>
        </w:rPr>
      </w:pPr>
    </w:p>
    <w:p w:rsidR="000F47A3" w:rsidRDefault="000F47A3">
      <w:pPr>
        <w:spacing w:after="200" w:line="276" w:lineRule="auto"/>
        <w:jc w:val="left"/>
        <w:rPr>
          <w:b/>
          <w:noProof/>
          <w:sz w:val="24"/>
          <w:szCs w:val="24"/>
          <w:lang w:eastAsia="en-GB"/>
        </w:rPr>
      </w:pPr>
      <w:r>
        <w:rPr>
          <w:b/>
          <w:noProof/>
          <w:sz w:val="24"/>
          <w:szCs w:val="24"/>
          <w:lang w:eastAsia="en-GB"/>
        </w:rPr>
        <w:br w:type="page"/>
      </w:r>
    </w:p>
    <w:p w:rsidR="00A23509" w:rsidRPr="008C2057" w:rsidRDefault="00A23509" w:rsidP="00654530">
      <w:pPr>
        <w:rPr>
          <w:b/>
          <w:noProof/>
          <w:sz w:val="24"/>
          <w:szCs w:val="24"/>
          <w:lang w:eastAsia="en-GB"/>
        </w:rPr>
      </w:pPr>
      <w:r w:rsidRPr="008C2057">
        <w:rPr>
          <w:b/>
          <w:noProof/>
          <w:sz w:val="24"/>
          <w:szCs w:val="24"/>
          <w:lang w:eastAsia="en-GB"/>
        </w:rPr>
        <w:lastRenderedPageBreak/>
        <w:t>Operations Directorate - Surgery and Critical Care:</w:t>
      </w:r>
    </w:p>
    <w:p w:rsidR="00A23509" w:rsidRPr="00A23509" w:rsidRDefault="00A23509" w:rsidP="00654530">
      <w:pPr>
        <w:rPr>
          <w:noProof/>
          <w:sz w:val="24"/>
          <w:szCs w:val="24"/>
          <w:lang w:eastAsia="en-GB"/>
        </w:rPr>
      </w:pPr>
    </w:p>
    <w:p w:rsidR="00654530" w:rsidRDefault="00A23509" w:rsidP="00654530">
      <w:pPr>
        <w:rPr>
          <w:noProof/>
          <w:sz w:val="24"/>
          <w:szCs w:val="24"/>
          <w:lang w:eastAsia="en-GB"/>
        </w:rPr>
      </w:pPr>
      <w:r>
        <w:rPr>
          <w:noProof/>
          <w:sz w:val="24"/>
          <w:szCs w:val="24"/>
          <w:lang w:eastAsia="en-GB"/>
        </w:rPr>
        <w:t xml:space="preserve">The </w:t>
      </w:r>
      <w:r w:rsidR="008C2057">
        <w:rPr>
          <w:noProof/>
          <w:sz w:val="24"/>
          <w:szCs w:val="24"/>
          <w:lang w:eastAsia="en-GB"/>
        </w:rPr>
        <w:t>Division is overspent at M0</w:t>
      </w:r>
      <w:r w:rsidR="00C1264B">
        <w:rPr>
          <w:noProof/>
          <w:sz w:val="24"/>
          <w:szCs w:val="24"/>
          <w:lang w:eastAsia="en-GB"/>
        </w:rPr>
        <w:t>4 by £998k (4.0</w:t>
      </w:r>
      <w:r w:rsidR="008C2057">
        <w:rPr>
          <w:noProof/>
          <w:sz w:val="24"/>
          <w:szCs w:val="24"/>
          <w:lang w:eastAsia="en-GB"/>
        </w:rPr>
        <w:t xml:space="preserve">%) The overall breakdown of the </w:t>
      </w:r>
      <w:r w:rsidR="006D2A60">
        <w:rPr>
          <w:noProof/>
          <w:sz w:val="24"/>
          <w:szCs w:val="24"/>
          <w:lang w:eastAsia="en-GB"/>
        </w:rPr>
        <w:t>Division’</w:t>
      </w:r>
      <w:r w:rsidR="008C2057">
        <w:rPr>
          <w:noProof/>
          <w:sz w:val="24"/>
          <w:szCs w:val="24"/>
          <w:lang w:eastAsia="en-GB"/>
        </w:rPr>
        <w:t>s position by spend category is as follows:</w:t>
      </w:r>
    </w:p>
    <w:p w:rsidR="008C2057" w:rsidRPr="00A23509" w:rsidRDefault="008C2057" w:rsidP="00654530">
      <w:pPr>
        <w:rPr>
          <w:noProof/>
          <w:sz w:val="24"/>
          <w:szCs w:val="24"/>
          <w:lang w:eastAsia="en-GB"/>
        </w:rPr>
      </w:pPr>
    </w:p>
    <w:tbl>
      <w:tblPr>
        <w:tblW w:w="10647" w:type="dxa"/>
        <w:tblInd w:w="93" w:type="dxa"/>
        <w:tblLook w:val="04A0" w:firstRow="1" w:lastRow="0" w:firstColumn="1" w:lastColumn="0" w:noHBand="0" w:noVBand="1"/>
      </w:tblPr>
      <w:tblGrid>
        <w:gridCol w:w="4420"/>
        <w:gridCol w:w="2258"/>
        <w:gridCol w:w="1984"/>
        <w:gridCol w:w="1985"/>
      </w:tblGrid>
      <w:tr w:rsidR="008C2057" w:rsidRPr="008C2057" w:rsidTr="008C2057">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8C2057" w:rsidRPr="008C2057" w:rsidRDefault="008C2057" w:rsidP="008C2057">
            <w:pPr>
              <w:jc w:val="left"/>
              <w:rPr>
                <w:rFonts w:ascii="Calibri" w:eastAsia="Times New Roman" w:hAnsi="Calibri" w:cs="Times New Roman"/>
                <w:b/>
                <w:color w:val="000000"/>
                <w:lang w:eastAsia="en-GB"/>
              </w:rPr>
            </w:pPr>
            <w:r w:rsidRPr="008C2057">
              <w:rPr>
                <w:rFonts w:ascii="Calibri" w:eastAsia="Times New Roman" w:hAnsi="Calibri" w:cs="Times New Roman"/>
                <w:b/>
                <w:color w:val="000000"/>
                <w:lang w:eastAsia="en-GB"/>
              </w:rPr>
              <w:t>Expenditure Category</w:t>
            </w:r>
          </w:p>
        </w:tc>
        <w:tc>
          <w:tcPr>
            <w:tcW w:w="2258" w:type="dxa"/>
            <w:tcBorders>
              <w:top w:val="single" w:sz="4" w:space="0" w:color="000000"/>
              <w:left w:val="single" w:sz="4" w:space="0" w:color="000000"/>
              <w:bottom w:val="nil"/>
              <w:right w:val="nil"/>
            </w:tcBorders>
            <w:shd w:val="clear" w:color="auto" w:fill="auto"/>
            <w:noWrap/>
            <w:vAlign w:val="bottom"/>
            <w:hideMark/>
          </w:tcPr>
          <w:p w:rsidR="008C2057" w:rsidRPr="008C2057" w:rsidRDefault="008C2057" w:rsidP="008C2057">
            <w:pPr>
              <w:jc w:val="center"/>
              <w:rPr>
                <w:rFonts w:ascii="Calibri" w:eastAsia="Times New Roman" w:hAnsi="Calibri" w:cs="Times New Roman"/>
                <w:b/>
                <w:color w:val="000000"/>
                <w:lang w:eastAsia="en-GB"/>
              </w:rPr>
            </w:pPr>
            <w:r w:rsidRPr="008C2057">
              <w:rPr>
                <w:rFonts w:ascii="Calibri" w:eastAsia="Times New Roman" w:hAnsi="Calibri" w:cs="Times New Roman"/>
                <w:b/>
                <w:color w:val="000000"/>
                <w:lang w:eastAsia="en-GB"/>
              </w:rPr>
              <w:t>YTD Budget £000s</w:t>
            </w:r>
          </w:p>
        </w:tc>
        <w:tc>
          <w:tcPr>
            <w:tcW w:w="1984" w:type="dxa"/>
            <w:tcBorders>
              <w:top w:val="single" w:sz="4" w:space="0" w:color="000000"/>
              <w:left w:val="nil"/>
              <w:bottom w:val="nil"/>
              <w:right w:val="nil"/>
            </w:tcBorders>
            <w:shd w:val="clear" w:color="auto" w:fill="auto"/>
            <w:noWrap/>
            <w:vAlign w:val="bottom"/>
            <w:hideMark/>
          </w:tcPr>
          <w:p w:rsidR="008C2057" w:rsidRPr="008C2057" w:rsidRDefault="008C2057" w:rsidP="008C2057">
            <w:pPr>
              <w:jc w:val="center"/>
              <w:rPr>
                <w:rFonts w:ascii="Calibri" w:eastAsia="Times New Roman" w:hAnsi="Calibri" w:cs="Times New Roman"/>
                <w:b/>
                <w:color w:val="000000"/>
                <w:lang w:eastAsia="en-GB"/>
              </w:rPr>
            </w:pPr>
            <w:r w:rsidRPr="008C2057">
              <w:rPr>
                <w:rFonts w:ascii="Calibri" w:eastAsia="Times New Roman" w:hAnsi="Calibri" w:cs="Times New Roman"/>
                <w:b/>
                <w:color w:val="000000"/>
                <w:lang w:eastAsia="en-GB"/>
              </w:rPr>
              <w:t>YTD Actual £000s</w:t>
            </w:r>
          </w:p>
        </w:tc>
        <w:tc>
          <w:tcPr>
            <w:tcW w:w="1985" w:type="dxa"/>
            <w:tcBorders>
              <w:top w:val="single" w:sz="4" w:space="0" w:color="000000"/>
              <w:left w:val="nil"/>
              <w:bottom w:val="nil"/>
              <w:right w:val="single" w:sz="4" w:space="0" w:color="000000"/>
            </w:tcBorders>
            <w:shd w:val="clear" w:color="auto" w:fill="auto"/>
            <w:noWrap/>
            <w:vAlign w:val="bottom"/>
            <w:hideMark/>
          </w:tcPr>
          <w:p w:rsidR="008C2057" w:rsidRPr="008C2057" w:rsidRDefault="008C2057" w:rsidP="008C2057">
            <w:pPr>
              <w:jc w:val="center"/>
              <w:rPr>
                <w:rFonts w:ascii="Calibri" w:eastAsia="Times New Roman" w:hAnsi="Calibri" w:cs="Times New Roman"/>
                <w:b/>
                <w:color w:val="000000"/>
                <w:lang w:eastAsia="en-GB"/>
              </w:rPr>
            </w:pPr>
            <w:r w:rsidRPr="008C2057">
              <w:rPr>
                <w:rFonts w:ascii="Calibri" w:eastAsia="Times New Roman" w:hAnsi="Calibri" w:cs="Times New Roman"/>
                <w:b/>
                <w:color w:val="000000"/>
                <w:lang w:eastAsia="en-GB"/>
              </w:rPr>
              <w:t>Variance £000s</w:t>
            </w:r>
          </w:p>
        </w:tc>
      </w:tr>
      <w:tr w:rsidR="00C1264B" w:rsidRPr="008C2057" w:rsidTr="008C2057">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Clinical Supplies &amp; Services</w:t>
            </w:r>
          </w:p>
        </w:tc>
        <w:tc>
          <w:tcPr>
            <w:tcW w:w="2258" w:type="dxa"/>
            <w:tcBorders>
              <w:top w:val="single" w:sz="4" w:space="0" w:color="000000"/>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3,306.7</w:t>
            </w:r>
          </w:p>
        </w:tc>
        <w:tc>
          <w:tcPr>
            <w:tcW w:w="1984" w:type="dxa"/>
            <w:tcBorders>
              <w:top w:val="single" w:sz="4" w:space="0" w:color="000000"/>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3,852.7</w:t>
            </w:r>
          </w:p>
        </w:tc>
        <w:tc>
          <w:tcPr>
            <w:tcW w:w="1985" w:type="dxa"/>
            <w:tcBorders>
              <w:top w:val="single" w:sz="4" w:space="0" w:color="000000"/>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(546.1)</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Medical Staff</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9,102.5</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9,494.2</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(391.7)</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Drugs</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1,829.4</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1,925.4</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(96.0)</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Admin &amp; Clerical Staff</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1,541.4</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1,635.0</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(93.5)</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Premises and Fixed Plant</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25.3</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33.3</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(7.9)</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Purchase of Healthcare Services</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214.7</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220.1</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(5.4)</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General Supplies &amp; Services</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190.1</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191.4</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(1.3)</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Miscellaneous Expenditure</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0.0</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1.2</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(1.2)</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Non Patient Care Contracts &amp; Agreements</w:t>
            </w:r>
          </w:p>
        </w:tc>
        <w:tc>
          <w:tcPr>
            <w:tcW w:w="2258" w:type="dxa"/>
            <w:tcBorders>
              <w:top w:val="nil"/>
              <w:left w:val="single" w:sz="4" w:space="0" w:color="000000"/>
              <w:bottom w:val="nil"/>
              <w:right w:val="nil"/>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(7.1)</w:t>
            </w:r>
          </w:p>
        </w:tc>
        <w:tc>
          <w:tcPr>
            <w:tcW w:w="1984" w:type="dxa"/>
            <w:tcBorders>
              <w:top w:val="nil"/>
              <w:left w:val="nil"/>
              <w:bottom w:val="nil"/>
              <w:right w:val="nil"/>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(6.1)</w:t>
            </w:r>
          </w:p>
        </w:tc>
        <w:tc>
          <w:tcPr>
            <w:tcW w:w="1985"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(0.9)</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Education Expenditure</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15.4</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13.4</w:t>
            </w:r>
          </w:p>
        </w:tc>
        <w:tc>
          <w:tcPr>
            <w:tcW w:w="1985"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2.0</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Support Staff</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60.6</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57.4</w:t>
            </w:r>
          </w:p>
        </w:tc>
        <w:tc>
          <w:tcPr>
            <w:tcW w:w="1985"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3.2</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Establishment Expenses</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79.4</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59.6</w:t>
            </w:r>
          </w:p>
        </w:tc>
        <w:tc>
          <w:tcPr>
            <w:tcW w:w="1985"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19.8</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Scientific, Therapeutic &amp; Technical Staff</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1,007.3</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974.7</w:t>
            </w:r>
          </w:p>
        </w:tc>
        <w:tc>
          <w:tcPr>
            <w:tcW w:w="1985"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32.6</w:t>
            </w:r>
          </w:p>
        </w:tc>
      </w:tr>
      <w:tr w:rsidR="00C1264B" w:rsidRPr="008C2057" w:rsidTr="008C2057">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Nursing Staff</w:t>
            </w:r>
          </w:p>
        </w:tc>
        <w:tc>
          <w:tcPr>
            <w:tcW w:w="2258"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7,829.1</w:t>
            </w:r>
          </w:p>
        </w:tc>
        <w:tc>
          <w:tcPr>
            <w:tcW w:w="1984"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7,740.5</w:t>
            </w:r>
          </w:p>
        </w:tc>
        <w:tc>
          <w:tcPr>
            <w:tcW w:w="1985" w:type="dxa"/>
            <w:tcBorders>
              <w:top w:val="nil"/>
              <w:left w:val="nil"/>
              <w:bottom w:val="single" w:sz="4" w:space="0" w:color="000000"/>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88.6</w:t>
            </w:r>
          </w:p>
        </w:tc>
      </w:tr>
      <w:tr w:rsidR="00C1264B" w:rsidRPr="00C1264B" w:rsidTr="008C2057">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rPr>
                <w:rFonts w:ascii="Calibri" w:hAnsi="Calibri"/>
                <w:b/>
                <w:color w:val="000000"/>
              </w:rPr>
            </w:pPr>
            <w:r w:rsidRPr="00C1264B">
              <w:rPr>
                <w:rFonts w:ascii="Calibri" w:hAnsi="Calibri"/>
                <w:b/>
                <w:color w:val="000000"/>
              </w:rPr>
              <w:t>Total</w:t>
            </w:r>
          </w:p>
        </w:tc>
        <w:tc>
          <w:tcPr>
            <w:tcW w:w="2258"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25,194.8</w:t>
            </w:r>
          </w:p>
        </w:tc>
        <w:tc>
          <w:tcPr>
            <w:tcW w:w="1984" w:type="dxa"/>
            <w:tcBorders>
              <w:top w:val="single" w:sz="4" w:space="0" w:color="000000"/>
              <w:left w:val="nil"/>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26,192.8</w:t>
            </w:r>
          </w:p>
        </w:tc>
        <w:tc>
          <w:tcPr>
            <w:tcW w:w="1985" w:type="dxa"/>
            <w:tcBorders>
              <w:top w:val="nil"/>
              <w:left w:val="nil"/>
              <w:bottom w:val="single" w:sz="4" w:space="0" w:color="000000"/>
              <w:right w:val="single" w:sz="4" w:space="0" w:color="000000"/>
            </w:tcBorders>
            <w:shd w:val="clear" w:color="auto" w:fill="auto"/>
            <w:noWrap/>
            <w:vAlign w:val="bottom"/>
            <w:hideMark/>
          </w:tcPr>
          <w:p w:rsidR="00C1264B" w:rsidRPr="00C1264B" w:rsidRDefault="00C1264B">
            <w:pPr>
              <w:jc w:val="right"/>
              <w:rPr>
                <w:rFonts w:ascii="Calibri" w:hAnsi="Calibri"/>
                <w:b/>
                <w:color w:val="FF0000"/>
              </w:rPr>
            </w:pPr>
            <w:r w:rsidRPr="00C1264B">
              <w:rPr>
                <w:rFonts w:ascii="Calibri" w:hAnsi="Calibri"/>
                <w:b/>
                <w:color w:val="FF0000"/>
              </w:rPr>
              <w:t>(</w:t>
            </w:r>
            <w:r>
              <w:rPr>
                <w:rFonts w:ascii="Calibri" w:hAnsi="Calibri"/>
                <w:b/>
                <w:color w:val="FF0000"/>
              </w:rPr>
              <w:t>998.0</w:t>
            </w:r>
            <w:r w:rsidRPr="00C1264B">
              <w:rPr>
                <w:rFonts w:ascii="Calibri" w:hAnsi="Calibri"/>
                <w:b/>
                <w:color w:val="FF0000"/>
              </w:rPr>
              <w:t>)</w:t>
            </w:r>
          </w:p>
        </w:tc>
      </w:tr>
    </w:tbl>
    <w:p w:rsidR="00654530" w:rsidRPr="00A23509" w:rsidRDefault="00654530" w:rsidP="00654530">
      <w:pPr>
        <w:rPr>
          <w:sz w:val="24"/>
          <w:szCs w:val="24"/>
        </w:rPr>
      </w:pPr>
    </w:p>
    <w:p w:rsidR="00F25D3D" w:rsidRPr="00587310" w:rsidRDefault="008C2057" w:rsidP="00654530">
      <w:pPr>
        <w:rPr>
          <w:sz w:val="24"/>
          <w:szCs w:val="24"/>
        </w:rPr>
      </w:pPr>
      <w:r w:rsidRPr="00587310">
        <w:rPr>
          <w:sz w:val="24"/>
          <w:szCs w:val="24"/>
        </w:rPr>
        <w:t>Material variances are</w:t>
      </w:r>
      <w:r w:rsidR="00F25D3D" w:rsidRPr="00587310">
        <w:rPr>
          <w:sz w:val="24"/>
          <w:szCs w:val="24"/>
        </w:rPr>
        <w:t>:</w:t>
      </w:r>
    </w:p>
    <w:p w:rsidR="00F25D3D" w:rsidRPr="00587310" w:rsidRDefault="00F25D3D" w:rsidP="00654530">
      <w:pPr>
        <w:rPr>
          <w:sz w:val="24"/>
          <w:szCs w:val="24"/>
        </w:rPr>
      </w:pPr>
    </w:p>
    <w:p w:rsidR="00F25D3D" w:rsidRPr="00587310" w:rsidRDefault="00F25D3D" w:rsidP="00654530">
      <w:pPr>
        <w:rPr>
          <w:b/>
          <w:sz w:val="24"/>
          <w:szCs w:val="24"/>
        </w:rPr>
      </w:pPr>
      <w:r w:rsidRPr="00587310">
        <w:rPr>
          <w:b/>
          <w:sz w:val="24"/>
          <w:szCs w:val="24"/>
        </w:rPr>
        <w:t>Medical S</w:t>
      </w:r>
      <w:r w:rsidR="008C2057" w:rsidRPr="00587310">
        <w:rPr>
          <w:b/>
          <w:sz w:val="24"/>
          <w:szCs w:val="24"/>
        </w:rPr>
        <w:t>taffing</w:t>
      </w:r>
      <w:r w:rsidRPr="00587310">
        <w:rPr>
          <w:b/>
          <w:sz w:val="24"/>
          <w:szCs w:val="24"/>
        </w:rPr>
        <w:t>:</w:t>
      </w:r>
    </w:p>
    <w:p w:rsidR="00F25D3D" w:rsidRPr="00587310" w:rsidRDefault="00F25D3D" w:rsidP="00F25D3D">
      <w:pPr>
        <w:pStyle w:val="ListParagraph"/>
        <w:numPr>
          <w:ilvl w:val="0"/>
          <w:numId w:val="28"/>
        </w:numPr>
        <w:rPr>
          <w:sz w:val="24"/>
          <w:szCs w:val="24"/>
        </w:rPr>
      </w:pPr>
      <w:r w:rsidRPr="00587310">
        <w:rPr>
          <w:sz w:val="24"/>
          <w:szCs w:val="24"/>
        </w:rPr>
        <w:t>Ophthalmology additional activity:</w:t>
      </w:r>
      <w:r w:rsidRPr="00587310">
        <w:rPr>
          <w:sz w:val="24"/>
          <w:szCs w:val="24"/>
        </w:rPr>
        <w:tab/>
      </w:r>
      <w:r w:rsidRPr="00587310">
        <w:rPr>
          <w:sz w:val="24"/>
          <w:szCs w:val="24"/>
        </w:rPr>
        <w:tab/>
        <w:t>£1</w:t>
      </w:r>
      <w:r w:rsidR="00587310" w:rsidRPr="00587310">
        <w:rPr>
          <w:sz w:val="24"/>
          <w:szCs w:val="24"/>
        </w:rPr>
        <w:t>57</w:t>
      </w:r>
      <w:r w:rsidRPr="00587310">
        <w:rPr>
          <w:sz w:val="24"/>
          <w:szCs w:val="24"/>
        </w:rPr>
        <w:t>k (busines</w:t>
      </w:r>
      <w:r w:rsidR="008F4269" w:rsidRPr="00587310">
        <w:rPr>
          <w:sz w:val="24"/>
          <w:szCs w:val="24"/>
        </w:rPr>
        <w:t>s case not approved by Op</w:t>
      </w:r>
      <w:r w:rsidRPr="00587310">
        <w:rPr>
          <w:sz w:val="24"/>
          <w:szCs w:val="24"/>
        </w:rPr>
        <w:t>s)</w:t>
      </w:r>
    </w:p>
    <w:p w:rsidR="00F25D3D" w:rsidRPr="00587310" w:rsidRDefault="00F25D3D" w:rsidP="00F25D3D">
      <w:pPr>
        <w:pStyle w:val="ListParagraph"/>
        <w:numPr>
          <w:ilvl w:val="0"/>
          <w:numId w:val="28"/>
        </w:numPr>
        <w:rPr>
          <w:sz w:val="24"/>
          <w:szCs w:val="24"/>
        </w:rPr>
      </w:pPr>
      <w:r w:rsidRPr="00587310">
        <w:rPr>
          <w:sz w:val="24"/>
          <w:szCs w:val="24"/>
        </w:rPr>
        <w:t>General Surgery vacancy cover</w:t>
      </w:r>
      <w:r w:rsidR="008F4269" w:rsidRPr="00587310">
        <w:rPr>
          <w:sz w:val="24"/>
          <w:szCs w:val="24"/>
        </w:rPr>
        <w:t>:</w:t>
      </w:r>
      <w:r w:rsidR="008F4269" w:rsidRPr="00587310">
        <w:rPr>
          <w:sz w:val="24"/>
          <w:szCs w:val="24"/>
        </w:rPr>
        <w:tab/>
      </w:r>
      <w:r w:rsidR="008F4269" w:rsidRPr="00587310">
        <w:rPr>
          <w:sz w:val="24"/>
          <w:szCs w:val="24"/>
        </w:rPr>
        <w:tab/>
        <w:t>£1</w:t>
      </w:r>
      <w:r w:rsidR="00587310" w:rsidRPr="00587310">
        <w:rPr>
          <w:sz w:val="24"/>
          <w:szCs w:val="24"/>
        </w:rPr>
        <w:t>66</w:t>
      </w:r>
      <w:r w:rsidR="008F4269" w:rsidRPr="00587310">
        <w:rPr>
          <w:sz w:val="24"/>
          <w:szCs w:val="24"/>
        </w:rPr>
        <w:t>k (extended capacity and premium cost)</w:t>
      </w:r>
    </w:p>
    <w:p w:rsidR="00587310" w:rsidRPr="00587310" w:rsidRDefault="00587310" w:rsidP="00F25D3D">
      <w:pPr>
        <w:pStyle w:val="ListParagraph"/>
        <w:numPr>
          <w:ilvl w:val="0"/>
          <w:numId w:val="28"/>
        </w:numPr>
        <w:rPr>
          <w:sz w:val="24"/>
          <w:szCs w:val="24"/>
        </w:rPr>
      </w:pPr>
      <w:r w:rsidRPr="00587310">
        <w:rPr>
          <w:sz w:val="24"/>
          <w:szCs w:val="24"/>
        </w:rPr>
        <w:t>ENT vacancy cover:</w:t>
      </w:r>
      <w:r w:rsidRPr="00587310">
        <w:rPr>
          <w:sz w:val="24"/>
          <w:szCs w:val="24"/>
        </w:rPr>
        <w:tab/>
      </w:r>
      <w:r w:rsidRPr="00587310">
        <w:rPr>
          <w:sz w:val="24"/>
          <w:szCs w:val="24"/>
        </w:rPr>
        <w:tab/>
      </w:r>
      <w:r w:rsidRPr="00587310">
        <w:rPr>
          <w:sz w:val="24"/>
          <w:szCs w:val="24"/>
        </w:rPr>
        <w:tab/>
      </w:r>
      <w:r w:rsidRPr="00587310">
        <w:rPr>
          <w:sz w:val="24"/>
          <w:szCs w:val="24"/>
        </w:rPr>
        <w:tab/>
        <w:t>£141k</w:t>
      </w:r>
    </w:p>
    <w:p w:rsidR="008F4269" w:rsidRPr="00587310" w:rsidRDefault="008F4269" w:rsidP="00F25D3D">
      <w:pPr>
        <w:pStyle w:val="ListParagraph"/>
        <w:numPr>
          <w:ilvl w:val="0"/>
          <w:numId w:val="28"/>
        </w:numPr>
        <w:rPr>
          <w:sz w:val="24"/>
          <w:szCs w:val="24"/>
        </w:rPr>
      </w:pPr>
      <w:r w:rsidRPr="00587310">
        <w:rPr>
          <w:sz w:val="24"/>
          <w:szCs w:val="24"/>
        </w:rPr>
        <w:t>Division anticipates £242k of YTD WLI funding – if approved</w:t>
      </w:r>
    </w:p>
    <w:p w:rsidR="00F25D3D" w:rsidRPr="00C1264B" w:rsidRDefault="00F25D3D" w:rsidP="00654530">
      <w:pPr>
        <w:rPr>
          <w:color w:val="FF0000"/>
          <w:sz w:val="24"/>
          <w:szCs w:val="24"/>
        </w:rPr>
      </w:pPr>
    </w:p>
    <w:p w:rsidR="008F4269" w:rsidRPr="00587310" w:rsidRDefault="008F4269" w:rsidP="00654530">
      <w:pPr>
        <w:rPr>
          <w:b/>
          <w:sz w:val="24"/>
          <w:szCs w:val="24"/>
        </w:rPr>
      </w:pPr>
      <w:r w:rsidRPr="00587310">
        <w:rPr>
          <w:b/>
          <w:sz w:val="24"/>
          <w:szCs w:val="24"/>
        </w:rPr>
        <w:t>Admin and Management:</w:t>
      </w:r>
    </w:p>
    <w:p w:rsidR="008F4269" w:rsidRPr="00587310" w:rsidRDefault="008F4269" w:rsidP="008F4269">
      <w:pPr>
        <w:pStyle w:val="ListParagraph"/>
        <w:numPr>
          <w:ilvl w:val="0"/>
          <w:numId w:val="28"/>
        </w:numPr>
        <w:rPr>
          <w:sz w:val="24"/>
          <w:szCs w:val="24"/>
        </w:rPr>
      </w:pPr>
      <w:r w:rsidRPr="00587310">
        <w:rPr>
          <w:sz w:val="24"/>
          <w:szCs w:val="24"/>
        </w:rPr>
        <w:t>Management Team – Interim premia:</w:t>
      </w:r>
      <w:r w:rsidRPr="00587310">
        <w:rPr>
          <w:sz w:val="24"/>
          <w:szCs w:val="24"/>
        </w:rPr>
        <w:tab/>
        <w:t>£</w:t>
      </w:r>
      <w:r w:rsidR="00587310" w:rsidRPr="00587310">
        <w:rPr>
          <w:sz w:val="24"/>
          <w:szCs w:val="24"/>
        </w:rPr>
        <w:t>98</w:t>
      </w:r>
      <w:r w:rsidRPr="00587310">
        <w:rPr>
          <w:sz w:val="24"/>
          <w:szCs w:val="24"/>
        </w:rPr>
        <w:t>k (to be managed out through restructure)</w:t>
      </w:r>
    </w:p>
    <w:p w:rsidR="008F4269" w:rsidRPr="00C1264B" w:rsidRDefault="008F4269" w:rsidP="00654530">
      <w:pPr>
        <w:rPr>
          <w:color w:val="FF0000"/>
          <w:sz w:val="24"/>
          <w:szCs w:val="24"/>
        </w:rPr>
      </w:pPr>
    </w:p>
    <w:p w:rsidR="008F4269" w:rsidRPr="00587310" w:rsidRDefault="008F4269" w:rsidP="00654530">
      <w:pPr>
        <w:rPr>
          <w:b/>
          <w:sz w:val="24"/>
          <w:szCs w:val="24"/>
        </w:rPr>
      </w:pPr>
      <w:r w:rsidRPr="00587310">
        <w:rPr>
          <w:b/>
          <w:sz w:val="24"/>
          <w:szCs w:val="24"/>
        </w:rPr>
        <w:t>Clinical Non Pay:</w:t>
      </w:r>
    </w:p>
    <w:p w:rsidR="008F4269" w:rsidRPr="00587310" w:rsidRDefault="008F4269" w:rsidP="008F4269">
      <w:pPr>
        <w:pStyle w:val="ListParagraph"/>
        <w:numPr>
          <w:ilvl w:val="0"/>
          <w:numId w:val="28"/>
        </w:numPr>
        <w:rPr>
          <w:sz w:val="24"/>
          <w:szCs w:val="24"/>
        </w:rPr>
      </w:pPr>
      <w:r w:rsidRPr="00587310">
        <w:rPr>
          <w:sz w:val="24"/>
          <w:szCs w:val="24"/>
        </w:rPr>
        <w:t>Drugs spend – Ophthalmology:</w:t>
      </w:r>
      <w:r w:rsidRPr="00587310">
        <w:rPr>
          <w:sz w:val="24"/>
          <w:szCs w:val="24"/>
        </w:rPr>
        <w:tab/>
      </w:r>
      <w:r w:rsidRPr="00587310">
        <w:rPr>
          <w:sz w:val="24"/>
          <w:szCs w:val="24"/>
        </w:rPr>
        <w:tab/>
        <w:t>£</w:t>
      </w:r>
      <w:r w:rsidR="00587310">
        <w:rPr>
          <w:sz w:val="24"/>
          <w:szCs w:val="24"/>
        </w:rPr>
        <w:t>44</w:t>
      </w:r>
      <w:r w:rsidRPr="00587310">
        <w:rPr>
          <w:sz w:val="24"/>
          <w:szCs w:val="24"/>
        </w:rPr>
        <w:t>k</w:t>
      </w:r>
    </w:p>
    <w:p w:rsidR="008F4269" w:rsidRPr="00587310" w:rsidRDefault="008F4269" w:rsidP="008F4269">
      <w:pPr>
        <w:pStyle w:val="ListParagraph"/>
        <w:numPr>
          <w:ilvl w:val="0"/>
          <w:numId w:val="28"/>
        </w:numPr>
        <w:rPr>
          <w:sz w:val="24"/>
          <w:szCs w:val="24"/>
        </w:rPr>
      </w:pPr>
      <w:r w:rsidRPr="00587310">
        <w:rPr>
          <w:sz w:val="24"/>
          <w:szCs w:val="24"/>
        </w:rPr>
        <w:t>Drug spend – Theatres:</w:t>
      </w:r>
      <w:r w:rsidRPr="00587310">
        <w:rPr>
          <w:sz w:val="24"/>
          <w:szCs w:val="24"/>
        </w:rPr>
        <w:tab/>
      </w:r>
      <w:r w:rsidRPr="00587310">
        <w:rPr>
          <w:sz w:val="24"/>
          <w:szCs w:val="24"/>
        </w:rPr>
        <w:tab/>
      </w:r>
      <w:r w:rsidRPr="00587310">
        <w:rPr>
          <w:sz w:val="24"/>
          <w:szCs w:val="24"/>
        </w:rPr>
        <w:tab/>
        <w:t>£15k</w:t>
      </w:r>
    </w:p>
    <w:p w:rsidR="008F4269" w:rsidRPr="00587310" w:rsidRDefault="008F4269" w:rsidP="008F4269">
      <w:pPr>
        <w:pStyle w:val="ListParagraph"/>
        <w:numPr>
          <w:ilvl w:val="0"/>
          <w:numId w:val="28"/>
        </w:numPr>
        <w:rPr>
          <w:sz w:val="24"/>
          <w:szCs w:val="24"/>
        </w:rPr>
      </w:pPr>
      <w:r w:rsidRPr="00587310">
        <w:rPr>
          <w:sz w:val="24"/>
          <w:szCs w:val="24"/>
        </w:rPr>
        <w:t xml:space="preserve">Drug </w:t>
      </w:r>
      <w:r w:rsidR="009D3090" w:rsidRPr="00587310">
        <w:rPr>
          <w:sz w:val="24"/>
          <w:szCs w:val="24"/>
        </w:rPr>
        <w:t>spend</w:t>
      </w:r>
      <w:r w:rsidRPr="00587310">
        <w:rPr>
          <w:sz w:val="24"/>
          <w:szCs w:val="24"/>
        </w:rPr>
        <w:t xml:space="preserve"> – General Surgical:</w:t>
      </w:r>
      <w:r w:rsidRPr="00587310">
        <w:rPr>
          <w:sz w:val="24"/>
          <w:szCs w:val="24"/>
        </w:rPr>
        <w:tab/>
      </w:r>
      <w:r w:rsidRPr="00587310">
        <w:rPr>
          <w:sz w:val="24"/>
          <w:szCs w:val="24"/>
        </w:rPr>
        <w:tab/>
        <w:t>£</w:t>
      </w:r>
      <w:r w:rsidR="00587310" w:rsidRPr="00587310">
        <w:rPr>
          <w:sz w:val="24"/>
          <w:szCs w:val="24"/>
        </w:rPr>
        <w:t>32</w:t>
      </w:r>
      <w:r w:rsidRPr="00587310">
        <w:rPr>
          <w:sz w:val="24"/>
          <w:szCs w:val="24"/>
        </w:rPr>
        <w:t>k</w:t>
      </w:r>
    </w:p>
    <w:p w:rsidR="008F4269" w:rsidRPr="00587310" w:rsidRDefault="009D3090" w:rsidP="008F4269">
      <w:pPr>
        <w:pStyle w:val="ListParagraph"/>
        <w:numPr>
          <w:ilvl w:val="0"/>
          <w:numId w:val="28"/>
        </w:numPr>
        <w:rPr>
          <w:sz w:val="24"/>
          <w:szCs w:val="24"/>
        </w:rPr>
      </w:pPr>
      <w:r w:rsidRPr="00587310">
        <w:rPr>
          <w:sz w:val="24"/>
          <w:szCs w:val="24"/>
        </w:rPr>
        <w:t>Orthopaedic</w:t>
      </w:r>
      <w:r w:rsidR="00C30DD0" w:rsidRPr="00587310">
        <w:rPr>
          <w:sz w:val="24"/>
          <w:szCs w:val="24"/>
        </w:rPr>
        <w:t xml:space="preserve"> Implants:</w:t>
      </w:r>
      <w:r w:rsidR="00C30DD0" w:rsidRPr="00587310">
        <w:rPr>
          <w:sz w:val="24"/>
          <w:szCs w:val="24"/>
        </w:rPr>
        <w:tab/>
      </w:r>
      <w:r w:rsidR="00C30DD0" w:rsidRPr="00587310">
        <w:rPr>
          <w:sz w:val="24"/>
          <w:szCs w:val="24"/>
        </w:rPr>
        <w:tab/>
      </w:r>
      <w:r w:rsidR="00C30DD0" w:rsidRPr="00587310">
        <w:rPr>
          <w:sz w:val="24"/>
          <w:szCs w:val="24"/>
        </w:rPr>
        <w:tab/>
        <w:t>£</w:t>
      </w:r>
      <w:r w:rsidR="00587310" w:rsidRPr="00587310">
        <w:rPr>
          <w:sz w:val="24"/>
          <w:szCs w:val="24"/>
        </w:rPr>
        <w:t>205</w:t>
      </w:r>
      <w:r w:rsidR="00C30DD0" w:rsidRPr="00587310">
        <w:rPr>
          <w:sz w:val="24"/>
          <w:szCs w:val="24"/>
        </w:rPr>
        <w:t>k (savings slippage)</w:t>
      </w:r>
    </w:p>
    <w:p w:rsidR="00C30DD0" w:rsidRPr="00587310" w:rsidRDefault="00C30DD0" w:rsidP="008F4269">
      <w:pPr>
        <w:pStyle w:val="ListParagraph"/>
        <w:numPr>
          <w:ilvl w:val="0"/>
          <w:numId w:val="28"/>
        </w:numPr>
        <w:rPr>
          <w:sz w:val="24"/>
          <w:szCs w:val="24"/>
        </w:rPr>
      </w:pPr>
      <w:r w:rsidRPr="00587310">
        <w:rPr>
          <w:sz w:val="24"/>
          <w:szCs w:val="24"/>
        </w:rPr>
        <w:t>Ophthalmic Implants:</w:t>
      </w:r>
      <w:r w:rsidRPr="00587310">
        <w:rPr>
          <w:sz w:val="24"/>
          <w:szCs w:val="24"/>
        </w:rPr>
        <w:tab/>
      </w:r>
      <w:r w:rsidRPr="00587310">
        <w:rPr>
          <w:sz w:val="24"/>
          <w:szCs w:val="24"/>
        </w:rPr>
        <w:tab/>
      </w:r>
      <w:r w:rsidRPr="00587310">
        <w:rPr>
          <w:sz w:val="24"/>
          <w:szCs w:val="24"/>
        </w:rPr>
        <w:tab/>
        <w:t>£</w:t>
      </w:r>
      <w:r w:rsidR="00587310" w:rsidRPr="00587310">
        <w:rPr>
          <w:sz w:val="24"/>
          <w:szCs w:val="24"/>
        </w:rPr>
        <w:t>58</w:t>
      </w:r>
      <w:r w:rsidRPr="00587310">
        <w:rPr>
          <w:sz w:val="24"/>
          <w:szCs w:val="24"/>
        </w:rPr>
        <w:t>k (business case not approved by Ops)</w:t>
      </w:r>
    </w:p>
    <w:p w:rsidR="00C30DD0" w:rsidRPr="00587310" w:rsidRDefault="00C30DD0" w:rsidP="008F4269">
      <w:pPr>
        <w:pStyle w:val="ListParagraph"/>
        <w:numPr>
          <w:ilvl w:val="0"/>
          <w:numId w:val="28"/>
        </w:numPr>
        <w:rPr>
          <w:sz w:val="24"/>
          <w:szCs w:val="24"/>
        </w:rPr>
      </w:pPr>
      <w:r w:rsidRPr="00587310">
        <w:rPr>
          <w:sz w:val="24"/>
          <w:szCs w:val="24"/>
        </w:rPr>
        <w:t>Theatres consumables:</w:t>
      </w:r>
      <w:r w:rsidRPr="00587310">
        <w:rPr>
          <w:sz w:val="24"/>
          <w:szCs w:val="24"/>
        </w:rPr>
        <w:tab/>
      </w:r>
      <w:r w:rsidRPr="00587310">
        <w:rPr>
          <w:sz w:val="24"/>
          <w:szCs w:val="24"/>
        </w:rPr>
        <w:tab/>
      </w:r>
      <w:r w:rsidRPr="00587310">
        <w:rPr>
          <w:sz w:val="24"/>
          <w:szCs w:val="24"/>
        </w:rPr>
        <w:tab/>
        <w:t>£</w:t>
      </w:r>
      <w:r w:rsidR="00587310" w:rsidRPr="00587310">
        <w:rPr>
          <w:sz w:val="24"/>
          <w:szCs w:val="24"/>
        </w:rPr>
        <w:t>304</w:t>
      </w:r>
      <w:r w:rsidRPr="00587310">
        <w:rPr>
          <w:sz w:val="24"/>
          <w:szCs w:val="24"/>
        </w:rPr>
        <w:t>k (activity driven)</w:t>
      </w:r>
    </w:p>
    <w:p w:rsidR="00F25D3D" w:rsidRPr="00C1264B" w:rsidRDefault="00F25D3D" w:rsidP="00654530">
      <w:pPr>
        <w:rPr>
          <w:color w:val="FF0000"/>
          <w:sz w:val="24"/>
          <w:szCs w:val="24"/>
        </w:rPr>
      </w:pPr>
    </w:p>
    <w:p w:rsidR="00C30DD0" w:rsidRPr="00F30F67" w:rsidRDefault="008C2057" w:rsidP="00654530">
      <w:pPr>
        <w:rPr>
          <w:b/>
          <w:sz w:val="24"/>
          <w:szCs w:val="24"/>
        </w:rPr>
      </w:pPr>
      <w:r w:rsidRPr="00F30F67">
        <w:rPr>
          <w:sz w:val="24"/>
          <w:szCs w:val="24"/>
        </w:rPr>
        <w:t xml:space="preserve"> </w:t>
      </w:r>
      <w:r w:rsidR="00C30DD0" w:rsidRPr="00F30F67">
        <w:rPr>
          <w:b/>
          <w:sz w:val="24"/>
          <w:szCs w:val="24"/>
        </w:rPr>
        <w:t>Savings Delivery - Major Variances:</w:t>
      </w:r>
    </w:p>
    <w:p w:rsidR="00F30F67" w:rsidRPr="00F30F67" w:rsidRDefault="00F30F67" w:rsidP="00F30F67">
      <w:pPr>
        <w:pStyle w:val="ListParagraph"/>
        <w:rPr>
          <w:sz w:val="24"/>
          <w:szCs w:val="24"/>
        </w:rPr>
      </w:pPr>
    </w:p>
    <w:p w:rsidR="00C30DD0" w:rsidRPr="00F30F67" w:rsidRDefault="00C30DD0" w:rsidP="00C30DD0">
      <w:pPr>
        <w:pStyle w:val="ListParagraph"/>
        <w:numPr>
          <w:ilvl w:val="0"/>
          <w:numId w:val="28"/>
        </w:numPr>
        <w:rPr>
          <w:sz w:val="24"/>
          <w:szCs w:val="24"/>
        </w:rPr>
      </w:pPr>
      <w:r w:rsidRPr="00F30F67">
        <w:rPr>
          <w:sz w:val="24"/>
          <w:szCs w:val="24"/>
        </w:rPr>
        <w:t>Procurement Programme Slippage:</w:t>
      </w:r>
      <w:r w:rsidRPr="00F30F67">
        <w:rPr>
          <w:sz w:val="24"/>
          <w:szCs w:val="24"/>
        </w:rPr>
        <w:tab/>
        <w:t>£1</w:t>
      </w:r>
      <w:r w:rsidR="00587310" w:rsidRPr="00F30F67">
        <w:rPr>
          <w:sz w:val="24"/>
          <w:szCs w:val="24"/>
        </w:rPr>
        <w:t>77</w:t>
      </w:r>
      <w:r w:rsidRPr="00F30F67">
        <w:rPr>
          <w:sz w:val="24"/>
          <w:szCs w:val="24"/>
        </w:rPr>
        <w:t>4k</w:t>
      </w:r>
    </w:p>
    <w:p w:rsidR="008C2057" w:rsidRDefault="008C2057" w:rsidP="00654530">
      <w:pPr>
        <w:rPr>
          <w:sz w:val="24"/>
          <w:szCs w:val="24"/>
        </w:rPr>
      </w:pPr>
    </w:p>
    <w:p w:rsidR="008C2057" w:rsidRDefault="008C2057" w:rsidP="00654530">
      <w:pPr>
        <w:rPr>
          <w:sz w:val="24"/>
          <w:szCs w:val="24"/>
        </w:rPr>
      </w:pPr>
    </w:p>
    <w:p w:rsidR="008C2057" w:rsidRDefault="008C2057" w:rsidP="00654530">
      <w:pPr>
        <w:rPr>
          <w:sz w:val="24"/>
          <w:szCs w:val="24"/>
        </w:rPr>
      </w:pPr>
    </w:p>
    <w:p w:rsidR="008C2057" w:rsidRDefault="008C2057" w:rsidP="00654530">
      <w:pPr>
        <w:rPr>
          <w:sz w:val="24"/>
          <w:szCs w:val="24"/>
        </w:rPr>
      </w:pPr>
    </w:p>
    <w:p w:rsidR="00F30F67" w:rsidRDefault="00F30F67">
      <w:pPr>
        <w:spacing w:after="200" w:line="276" w:lineRule="auto"/>
        <w:jc w:val="left"/>
        <w:rPr>
          <w:b/>
          <w:sz w:val="24"/>
          <w:szCs w:val="24"/>
        </w:rPr>
      </w:pPr>
      <w:r>
        <w:rPr>
          <w:b/>
          <w:sz w:val="24"/>
          <w:szCs w:val="24"/>
        </w:rPr>
        <w:br w:type="page"/>
      </w:r>
    </w:p>
    <w:p w:rsidR="008C2057" w:rsidRPr="00E500BB" w:rsidRDefault="006D2A60" w:rsidP="00654530">
      <w:pPr>
        <w:rPr>
          <w:b/>
          <w:sz w:val="24"/>
          <w:szCs w:val="24"/>
        </w:rPr>
      </w:pPr>
      <w:r w:rsidRPr="00E500BB">
        <w:rPr>
          <w:b/>
          <w:sz w:val="24"/>
          <w:szCs w:val="24"/>
        </w:rPr>
        <w:lastRenderedPageBreak/>
        <w:t xml:space="preserve">Operations </w:t>
      </w:r>
      <w:r w:rsidR="00E500BB">
        <w:rPr>
          <w:b/>
          <w:sz w:val="24"/>
          <w:szCs w:val="24"/>
        </w:rPr>
        <w:t xml:space="preserve">Directorate </w:t>
      </w:r>
      <w:r w:rsidRPr="00E500BB">
        <w:rPr>
          <w:b/>
          <w:sz w:val="24"/>
          <w:szCs w:val="24"/>
        </w:rPr>
        <w:t>– Medicine:</w:t>
      </w:r>
    </w:p>
    <w:p w:rsidR="006D2A60" w:rsidRDefault="006D2A60" w:rsidP="00654530">
      <w:pPr>
        <w:rPr>
          <w:sz w:val="24"/>
          <w:szCs w:val="24"/>
        </w:rPr>
      </w:pPr>
    </w:p>
    <w:p w:rsidR="006D2A60" w:rsidRDefault="006D2A60" w:rsidP="00654530">
      <w:pPr>
        <w:rPr>
          <w:sz w:val="24"/>
          <w:szCs w:val="24"/>
        </w:rPr>
      </w:pPr>
      <w:r>
        <w:rPr>
          <w:sz w:val="24"/>
          <w:szCs w:val="24"/>
        </w:rPr>
        <w:t>The Division</w:t>
      </w:r>
      <w:r w:rsidR="00C1264B">
        <w:rPr>
          <w:sz w:val="24"/>
          <w:szCs w:val="24"/>
        </w:rPr>
        <w:t xml:space="preserve"> is overspent by £1.22m </w:t>
      </w:r>
      <w:r w:rsidR="00A26313">
        <w:rPr>
          <w:sz w:val="24"/>
          <w:szCs w:val="24"/>
        </w:rPr>
        <w:t xml:space="preserve">- </w:t>
      </w:r>
      <w:r w:rsidR="00C1264B">
        <w:rPr>
          <w:sz w:val="24"/>
          <w:szCs w:val="24"/>
        </w:rPr>
        <w:t>3.6</w:t>
      </w:r>
      <w:r w:rsidR="00DF43F3">
        <w:rPr>
          <w:sz w:val="24"/>
          <w:szCs w:val="24"/>
        </w:rPr>
        <w:t>%</w:t>
      </w:r>
      <w:r w:rsidR="00A26313">
        <w:rPr>
          <w:sz w:val="24"/>
          <w:szCs w:val="24"/>
        </w:rPr>
        <w:t>. Expenditure category breakdown is as follows:</w:t>
      </w:r>
    </w:p>
    <w:p w:rsidR="006D2A60" w:rsidRDefault="006D2A60" w:rsidP="00654530">
      <w:pPr>
        <w:rPr>
          <w:sz w:val="24"/>
          <w:szCs w:val="24"/>
        </w:rPr>
      </w:pPr>
    </w:p>
    <w:tbl>
      <w:tblPr>
        <w:tblW w:w="10363" w:type="dxa"/>
        <w:tblInd w:w="93" w:type="dxa"/>
        <w:tblLook w:val="04A0" w:firstRow="1" w:lastRow="0" w:firstColumn="1" w:lastColumn="0" w:noHBand="0" w:noVBand="1"/>
      </w:tblPr>
      <w:tblGrid>
        <w:gridCol w:w="4420"/>
        <w:gridCol w:w="1974"/>
        <w:gridCol w:w="2268"/>
        <w:gridCol w:w="1701"/>
      </w:tblGrid>
      <w:tr w:rsidR="006D2A60" w:rsidRPr="006D2A60" w:rsidTr="00E500BB">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6D2A60" w:rsidRPr="006D2A60" w:rsidRDefault="00DF43F3" w:rsidP="006D2A60">
            <w:pPr>
              <w:jc w:val="left"/>
              <w:rPr>
                <w:rFonts w:ascii="Calibri" w:eastAsia="Times New Roman" w:hAnsi="Calibri" w:cs="Times New Roman"/>
                <w:b/>
                <w:color w:val="000000"/>
                <w:lang w:eastAsia="en-GB"/>
              </w:rPr>
            </w:pPr>
            <w:r>
              <w:rPr>
                <w:rFonts w:ascii="Calibri" w:eastAsia="Times New Roman" w:hAnsi="Calibri" w:cs="Times New Roman"/>
                <w:b/>
                <w:color w:val="000000"/>
                <w:lang w:eastAsia="en-GB"/>
              </w:rPr>
              <w:t>Expenditure Category</w:t>
            </w:r>
          </w:p>
        </w:tc>
        <w:tc>
          <w:tcPr>
            <w:tcW w:w="1974" w:type="dxa"/>
            <w:tcBorders>
              <w:top w:val="single" w:sz="4" w:space="0" w:color="000000"/>
              <w:left w:val="single" w:sz="4" w:space="0" w:color="000000"/>
              <w:bottom w:val="nil"/>
              <w:right w:val="nil"/>
            </w:tcBorders>
            <w:shd w:val="clear" w:color="auto" w:fill="auto"/>
            <w:noWrap/>
            <w:vAlign w:val="bottom"/>
            <w:hideMark/>
          </w:tcPr>
          <w:p w:rsidR="006D2A60" w:rsidRPr="006D2A60" w:rsidRDefault="00E500BB" w:rsidP="00E500BB">
            <w:pPr>
              <w:jc w:val="center"/>
              <w:rPr>
                <w:rFonts w:ascii="Calibri" w:eastAsia="Times New Roman" w:hAnsi="Calibri" w:cs="Times New Roman"/>
                <w:b/>
                <w:color w:val="000000"/>
                <w:lang w:eastAsia="en-GB"/>
              </w:rPr>
            </w:pPr>
            <w:r w:rsidRPr="00E500BB">
              <w:rPr>
                <w:rFonts w:ascii="Calibri" w:eastAsia="Times New Roman" w:hAnsi="Calibri" w:cs="Times New Roman"/>
                <w:b/>
                <w:color w:val="000000"/>
                <w:lang w:eastAsia="en-GB"/>
              </w:rPr>
              <w:t>YTD</w:t>
            </w:r>
            <w:r w:rsidR="006D2A60" w:rsidRPr="006D2A60">
              <w:rPr>
                <w:rFonts w:ascii="Calibri" w:eastAsia="Times New Roman" w:hAnsi="Calibri" w:cs="Times New Roman"/>
                <w:b/>
                <w:color w:val="000000"/>
                <w:lang w:eastAsia="en-GB"/>
              </w:rPr>
              <w:t xml:space="preserve"> Budget £000s</w:t>
            </w:r>
          </w:p>
        </w:tc>
        <w:tc>
          <w:tcPr>
            <w:tcW w:w="2268" w:type="dxa"/>
            <w:tcBorders>
              <w:top w:val="single" w:sz="4" w:space="0" w:color="000000"/>
              <w:left w:val="nil"/>
              <w:bottom w:val="nil"/>
              <w:right w:val="nil"/>
            </w:tcBorders>
            <w:shd w:val="clear" w:color="auto" w:fill="auto"/>
            <w:noWrap/>
            <w:vAlign w:val="bottom"/>
            <w:hideMark/>
          </w:tcPr>
          <w:p w:rsidR="006D2A60" w:rsidRPr="006D2A60" w:rsidRDefault="00E500BB" w:rsidP="00E500BB">
            <w:pPr>
              <w:jc w:val="center"/>
              <w:rPr>
                <w:rFonts w:ascii="Calibri" w:eastAsia="Times New Roman" w:hAnsi="Calibri" w:cs="Times New Roman"/>
                <w:b/>
                <w:color w:val="000000"/>
                <w:lang w:eastAsia="en-GB"/>
              </w:rPr>
            </w:pPr>
            <w:r w:rsidRPr="00E500BB">
              <w:rPr>
                <w:rFonts w:ascii="Calibri" w:eastAsia="Times New Roman" w:hAnsi="Calibri" w:cs="Times New Roman"/>
                <w:b/>
                <w:color w:val="000000"/>
                <w:lang w:eastAsia="en-GB"/>
              </w:rPr>
              <w:t>YTD</w:t>
            </w:r>
            <w:r w:rsidR="006D2A60" w:rsidRPr="006D2A60">
              <w:rPr>
                <w:rFonts w:ascii="Calibri" w:eastAsia="Times New Roman" w:hAnsi="Calibri" w:cs="Times New Roman"/>
                <w:b/>
                <w:color w:val="000000"/>
                <w:lang w:eastAsia="en-GB"/>
              </w:rPr>
              <w:t xml:space="preserve"> Actual £000s</w:t>
            </w:r>
          </w:p>
        </w:tc>
        <w:tc>
          <w:tcPr>
            <w:tcW w:w="1701" w:type="dxa"/>
            <w:tcBorders>
              <w:top w:val="single" w:sz="4" w:space="0" w:color="000000"/>
              <w:left w:val="nil"/>
              <w:bottom w:val="nil"/>
              <w:right w:val="single" w:sz="4" w:space="0" w:color="000000"/>
            </w:tcBorders>
            <w:shd w:val="clear" w:color="auto" w:fill="auto"/>
            <w:noWrap/>
            <w:vAlign w:val="bottom"/>
            <w:hideMark/>
          </w:tcPr>
          <w:p w:rsidR="006D2A60" w:rsidRPr="006D2A60" w:rsidRDefault="00E500BB" w:rsidP="00E500BB">
            <w:pPr>
              <w:jc w:val="center"/>
              <w:rPr>
                <w:rFonts w:ascii="Calibri" w:eastAsia="Times New Roman" w:hAnsi="Calibri" w:cs="Times New Roman"/>
                <w:b/>
                <w:color w:val="000000"/>
                <w:lang w:eastAsia="en-GB"/>
              </w:rPr>
            </w:pPr>
            <w:r w:rsidRPr="00E500BB">
              <w:rPr>
                <w:rFonts w:ascii="Calibri" w:eastAsia="Times New Roman" w:hAnsi="Calibri" w:cs="Times New Roman"/>
                <w:b/>
                <w:color w:val="000000"/>
                <w:lang w:eastAsia="en-GB"/>
              </w:rPr>
              <w:t>Variance £000s</w:t>
            </w:r>
          </w:p>
        </w:tc>
      </w:tr>
      <w:tr w:rsidR="00C1264B" w:rsidRPr="006D2A60" w:rsidTr="00E500BB">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Medical Staff</w:t>
            </w:r>
          </w:p>
        </w:tc>
        <w:tc>
          <w:tcPr>
            <w:tcW w:w="1974" w:type="dxa"/>
            <w:tcBorders>
              <w:top w:val="single" w:sz="4" w:space="0" w:color="000000"/>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8,557.7</w:t>
            </w:r>
          </w:p>
        </w:tc>
        <w:tc>
          <w:tcPr>
            <w:tcW w:w="2268" w:type="dxa"/>
            <w:tcBorders>
              <w:top w:val="single" w:sz="4" w:space="0" w:color="000000"/>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9,483.0</w:t>
            </w:r>
          </w:p>
        </w:tc>
        <w:tc>
          <w:tcPr>
            <w:tcW w:w="1701" w:type="dxa"/>
            <w:tcBorders>
              <w:top w:val="single" w:sz="4" w:space="0" w:color="000000"/>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(925.3)</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Nursing Staff</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11,463.9</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11,693.4</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(229.5)</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Admin &amp; Clerical Staff</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1,751.0</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1,807.0</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(55.9)</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Clinical Supplies &amp; Services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1,518.2</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1,535.7</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(17.5)</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Drugs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8,807.5</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8,823.9</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(16.3)</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Scientific, Therapeutic &amp; Technical Staff</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311.8</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327.3</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(15.5)</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Establishment Expenses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64.3</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67.3</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(3.0)</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Premises and Fixed Plant</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56.9</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57.0</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(0.1)</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Education Expenditure</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10.9</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10.9</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0.0</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Miscellaneous Expenditure</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10.4</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8.1</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2.3</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Services From Other NHS Bodies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318.1</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313.0</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5.2</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General Supplies &amp; Services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160.2</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146.7</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13.5</w:t>
            </w:r>
          </w:p>
        </w:tc>
      </w:tr>
      <w:tr w:rsidR="00C1264B" w:rsidRPr="006D2A60" w:rsidTr="00E500BB">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Purchase of Healthcare Services</w:t>
            </w:r>
          </w:p>
        </w:tc>
        <w:tc>
          <w:tcPr>
            <w:tcW w:w="1974"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447.9</w:t>
            </w:r>
          </w:p>
        </w:tc>
        <w:tc>
          <w:tcPr>
            <w:tcW w:w="2268"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424.5</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23.5</w:t>
            </w:r>
          </w:p>
        </w:tc>
      </w:tr>
      <w:tr w:rsidR="00C1264B" w:rsidRPr="006D2A60" w:rsidTr="00E500BB">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rPr>
                <w:rFonts w:ascii="Calibri" w:hAnsi="Calibri"/>
                <w:b/>
                <w:color w:val="000000"/>
              </w:rPr>
            </w:pPr>
            <w:r w:rsidRPr="00C1264B">
              <w:rPr>
                <w:rFonts w:ascii="Calibri" w:hAnsi="Calibri"/>
                <w:b/>
                <w:color w:val="000000"/>
              </w:rPr>
              <w:t>Total</w:t>
            </w:r>
          </w:p>
        </w:tc>
        <w:tc>
          <w:tcPr>
            <w:tcW w:w="1974"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33,479.0</w:t>
            </w:r>
          </w:p>
        </w:tc>
        <w:tc>
          <w:tcPr>
            <w:tcW w:w="2268" w:type="dxa"/>
            <w:tcBorders>
              <w:top w:val="single" w:sz="4" w:space="0" w:color="000000"/>
              <w:left w:val="nil"/>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34,697.6</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FF0000"/>
              </w:rPr>
              <w:t>(1,218.6)</w:t>
            </w:r>
          </w:p>
        </w:tc>
      </w:tr>
    </w:tbl>
    <w:p w:rsidR="008C2057" w:rsidRDefault="008C2057" w:rsidP="00654530">
      <w:pPr>
        <w:rPr>
          <w:sz w:val="24"/>
          <w:szCs w:val="24"/>
        </w:rPr>
      </w:pPr>
    </w:p>
    <w:p w:rsidR="00A26313" w:rsidRDefault="00A26313">
      <w:pPr>
        <w:spacing w:after="200" w:line="276" w:lineRule="auto"/>
        <w:jc w:val="left"/>
        <w:rPr>
          <w:sz w:val="24"/>
          <w:szCs w:val="24"/>
        </w:rPr>
      </w:pPr>
      <w:r>
        <w:rPr>
          <w:sz w:val="24"/>
          <w:szCs w:val="24"/>
        </w:rPr>
        <w:t>Major Variances:</w:t>
      </w:r>
    </w:p>
    <w:p w:rsidR="00A26313" w:rsidRPr="00F30F67" w:rsidRDefault="00A26313" w:rsidP="00A26313">
      <w:pPr>
        <w:spacing w:line="276" w:lineRule="auto"/>
        <w:jc w:val="left"/>
        <w:rPr>
          <w:b/>
          <w:sz w:val="24"/>
          <w:szCs w:val="24"/>
        </w:rPr>
      </w:pPr>
      <w:r w:rsidRPr="00F30F67">
        <w:rPr>
          <w:b/>
          <w:sz w:val="24"/>
          <w:szCs w:val="24"/>
        </w:rPr>
        <w:t>Medical Staffing:</w:t>
      </w:r>
    </w:p>
    <w:p w:rsidR="00A26313" w:rsidRPr="00F30F67" w:rsidRDefault="00A26313" w:rsidP="00A26313">
      <w:pPr>
        <w:pStyle w:val="ListParagraph"/>
        <w:numPr>
          <w:ilvl w:val="0"/>
          <w:numId w:val="28"/>
        </w:numPr>
        <w:spacing w:after="200" w:line="276" w:lineRule="auto"/>
        <w:jc w:val="left"/>
        <w:rPr>
          <w:sz w:val="24"/>
          <w:szCs w:val="24"/>
        </w:rPr>
      </w:pPr>
      <w:r w:rsidRPr="00F30F67">
        <w:rPr>
          <w:sz w:val="24"/>
          <w:szCs w:val="24"/>
        </w:rPr>
        <w:t>A&amp;E vacancy cover:</w:t>
      </w:r>
      <w:r w:rsidRPr="00F30F67">
        <w:rPr>
          <w:sz w:val="24"/>
          <w:szCs w:val="24"/>
        </w:rPr>
        <w:tab/>
      </w:r>
      <w:r w:rsidRPr="00F30F67">
        <w:rPr>
          <w:sz w:val="24"/>
          <w:szCs w:val="24"/>
        </w:rPr>
        <w:tab/>
      </w:r>
      <w:r w:rsidRPr="00F30F67">
        <w:rPr>
          <w:sz w:val="24"/>
          <w:szCs w:val="24"/>
        </w:rPr>
        <w:tab/>
      </w:r>
      <w:r w:rsidRPr="00F30F67">
        <w:rPr>
          <w:sz w:val="24"/>
          <w:szCs w:val="24"/>
        </w:rPr>
        <w:tab/>
        <w:t>£</w:t>
      </w:r>
      <w:r w:rsidR="00F30F67" w:rsidRPr="00F30F67">
        <w:rPr>
          <w:sz w:val="24"/>
          <w:szCs w:val="24"/>
        </w:rPr>
        <w:t>163</w:t>
      </w:r>
      <w:r w:rsidRPr="00F30F67">
        <w:rPr>
          <w:sz w:val="24"/>
          <w:szCs w:val="24"/>
        </w:rPr>
        <w:t>k;</w:t>
      </w:r>
    </w:p>
    <w:p w:rsidR="00A26313" w:rsidRPr="00F30F67" w:rsidRDefault="00A26313" w:rsidP="00A26313">
      <w:pPr>
        <w:pStyle w:val="ListParagraph"/>
        <w:numPr>
          <w:ilvl w:val="0"/>
          <w:numId w:val="28"/>
        </w:numPr>
        <w:spacing w:after="200" w:line="276" w:lineRule="auto"/>
        <w:jc w:val="left"/>
        <w:rPr>
          <w:sz w:val="24"/>
          <w:szCs w:val="24"/>
        </w:rPr>
      </w:pPr>
      <w:r w:rsidRPr="00F30F67">
        <w:rPr>
          <w:sz w:val="24"/>
          <w:szCs w:val="24"/>
        </w:rPr>
        <w:t>Acute Medicine vacancy cover:</w:t>
      </w:r>
      <w:r w:rsidRPr="00F30F67">
        <w:rPr>
          <w:sz w:val="24"/>
          <w:szCs w:val="24"/>
        </w:rPr>
        <w:tab/>
      </w:r>
      <w:r w:rsidRPr="00F30F67">
        <w:rPr>
          <w:sz w:val="24"/>
          <w:szCs w:val="24"/>
        </w:rPr>
        <w:tab/>
        <w:t>£</w:t>
      </w:r>
      <w:r w:rsidR="00F30F67" w:rsidRPr="00F30F67">
        <w:rPr>
          <w:sz w:val="24"/>
          <w:szCs w:val="24"/>
        </w:rPr>
        <w:t>244</w:t>
      </w:r>
      <w:r w:rsidRPr="00F30F67">
        <w:rPr>
          <w:sz w:val="24"/>
          <w:szCs w:val="24"/>
        </w:rPr>
        <w:t>k;</w:t>
      </w:r>
    </w:p>
    <w:p w:rsidR="00A26313" w:rsidRPr="00F30F67" w:rsidRDefault="00A26313" w:rsidP="00A26313">
      <w:pPr>
        <w:pStyle w:val="ListParagraph"/>
        <w:numPr>
          <w:ilvl w:val="0"/>
          <w:numId w:val="28"/>
        </w:numPr>
        <w:spacing w:after="200" w:line="276" w:lineRule="auto"/>
        <w:jc w:val="left"/>
        <w:rPr>
          <w:sz w:val="24"/>
          <w:szCs w:val="24"/>
        </w:rPr>
      </w:pPr>
      <w:r w:rsidRPr="00F30F67">
        <w:rPr>
          <w:sz w:val="24"/>
          <w:szCs w:val="24"/>
        </w:rPr>
        <w:t>Cardiology vacancy cover:</w:t>
      </w:r>
      <w:r w:rsidRPr="00F30F67">
        <w:rPr>
          <w:sz w:val="24"/>
          <w:szCs w:val="24"/>
        </w:rPr>
        <w:tab/>
      </w:r>
      <w:r w:rsidRPr="00F30F67">
        <w:rPr>
          <w:sz w:val="24"/>
          <w:szCs w:val="24"/>
        </w:rPr>
        <w:tab/>
      </w:r>
      <w:r w:rsidRPr="00F30F67">
        <w:rPr>
          <w:sz w:val="24"/>
          <w:szCs w:val="24"/>
        </w:rPr>
        <w:tab/>
        <w:t>£1</w:t>
      </w:r>
      <w:r w:rsidR="00F30F67" w:rsidRPr="00F30F67">
        <w:rPr>
          <w:sz w:val="24"/>
          <w:szCs w:val="24"/>
        </w:rPr>
        <w:t>4</w:t>
      </w:r>
      <w:r w:rsidRPr="00F30F67">
        <w:rPr>
          <w:sz w:val="24"/>
          <w:szCs w:val="24"/>
        </w:rPr>
        <w:t>3k;</w:t>
      </w:r>
    </w:p>
    <w:p w:rsidR="00A26313" w:rsidRPr="00F30F67" w:rsidRDefault="00A26313" w:rsidP="00A26313">
      <w:pPr>
        <w:pStyle w:val="ListParagraph"/>
        <w:numPr>
          <w:ilvl w:val="0"/>
          <w:numId w:val="28"/>
        </w:numPr>
        <w:spacing w:after="200" w:line="276" w:lineRule="auto"/>
        <w:jc w:val="left"/>
        <w:rPr>
          <w:sz w:val="24"/>
          <w:szCs w:val="24"/>
        </w:rPr>
      </w:pPr>
      <w:r w:rsidRPr="00F30F67">
        <w:rPr>
          <w:sz w:val="24"/>
          <w:szCs w:val="24"/>
        </w:rPr>
        <w:t>Goole cover:</w:t>
      </w:r>
      <w:r w:rsidRPr="00F30F67">
        <w:rPr>
          <w:sz w:val="24"/>
          <w:szCs w:val="24"/>
        </w:rPr>
        <w:tab/>
      </w:r>
      <w:r w:rsidRPr="00F30F67">
        <w:rPr>
          <w:sz w:val="24"/>
          <w:szCs w:val="24"/>
        </w:rPr>
        <w:tab/>
      </w:r>
      <w:r w:rsidRPr="00F30F67">
        <w:rPr>
          <w:sz w:val="24"/>
          <w:szCs w:val="24"/>
        </w:rPr>
        <w:tab/>
      </w:r>
      <w:r w:rsidRPr="00F30F67">
        <w:rPr>
          <w:sz w:val="24"/>
          <w:szCs w:val="24"/>
        </w:rPr>
        <w:tab/>
      </w:r>
      <w:r w:rsidRPr="00F30F67">
        <w:rPr>
          <w:sz w:val="24"/>
          <w:szCs w:val="24"/>
        </w:rPr>
        <w:tab/>
        <w:t>£1</w:t>
      </w:r>
      <w:r w:rsidR="00F30F67" w:rsidRPr="00F30F67">
        <w:rPr>
          <w:sz w:val="24"/>
          <w:szCs w:val="24"/>
        </w:rPr>
        <w:t>63</w:t>
      </w:r>
      <w:r w:rsidRPr="00F30F67">
        <w:rPr>
          <w:sz w:val="24"/>
          <w:szCs w:val="24"/>
        </w:rPr>
        <w:t>k.</w:t>
      </w:r>
    </w:p>
    <w:p w:rsidR="00A26313" w:rsidRPr="00F30F67" w:rsidRDefault="00A26313" w:rsidP="00A26313">
      <w:pPr>
        <w:pStyle w:val="ListParagraph"/>
        <w:numPr>
          <w:ilvl w:val="0"/>
          <w:numId w:val="28"/>
        </w:numPr>
        <w:spacing w:after="200" w:line="276" w:lineRule="auto"/>
        <w:jc w:val="left"/>
        <w:rPr>
          <w:sz w:val="24"/>
          <w:szCs w:val="24"/>
        </w:rPr>
      </w:pPr>
      <w:r w:rsidRPr="00F30F67">
        <w:rPr>
          <w:sz w:val="24"/>
          <w:szCs w:val="24"/>
        </w:rPr>
        <w:t>WLI funding of £</w:t>
      </w:r>
      <w:r w:rsidR="00F30F67" w:rsidRPr="00F30F67">
        <w:rPr>
          <w:sz w:val="24"/>
          <w:szCs w:val="24"/>
        </w:rPr>
        <w:t>134</w:t>
      </w:r>
      <w:r w:rsidRPr="00F30F67">
        <w:rPr>
          <w:sz w:val="24"/>
          <w:szCs w:val="24"/>
        </w:rPr>
        <w:t>k anticipated (endoscopy, neurology) if approved.</w:t>
      </w:r>
    </w:p>
    <w:p w:rsidR="00A26313" w:rsidRPr="007F3CA7" w:rsidRDefault="00A26313" w:rsidP="00A26313">
      <w:pPr>
        <w:spacing w:line="276" w:lineRule="auto"/>
        <w:jc w:val="left"/>
        <w:rPr>
          <w:b/>
          <w:sz w:val="24"/>
          <w:szCs w:val="24"/>
        </w:rPr>
      </w:pPr>
      <w:r w:rsidRPr="007F3CA7">
        <w:rPr>
          <w:b/>
          <w:sz w:val="24"/>
          <w:szCs w:val="24"/>
        </w:rPr>
        <w:t>Nursing:</w:t>
      </w:r>
    </w:p>
    <w:p w:rsidR="00A26313" w:rsidRPr="007F3CA7" w:rsidRDefault="00A26313" w:rsidP="00A26313">
      <w:pPr>
        <w:pStyle w:val="ListParagraph"/>
        <w:numPr>
          <w:ilvl w:val="0"/>
          <w:numId w:val="28"/>
        </w:numPr>
        <w:spacing w:after="200" w:line="276" w:lineRule="auto"/>
        <w:jc w:val="left"/>
        <w:rPr>
          <w:sz w:val="24"/>
          <w:szCs w:val="24"/>
        </w:rPr>
      </w:pPr>
      <w:r w:rsidRPr="007F3CA7">
        <w:rPr>
          <w:sz w:val="24"/>
          <w:szCs w:val="24"/>
        </w:rPr>
        <w:t>SGH Ward vacancies:</w:t>
      </w:r>
      <w:r w:rsidRPr="007F3CA7">
        <w:rPr>
          <w:sz w:val="24"/>
          <w:szCs w:val="24"/>
        </w:rPr>
        <w:tab/>
      </w:r>
      <w:r w:rsidRPr="007F3CA7">
        <w:rPr>
          <w:sz w:val="24"/>
          <w:szCs w:val="24"/>
        </w:rPr>
        <w:tab/>
      </w:r>
      <w:r w:rsidRPr="007F3CA7">
        <w:rPr>
          <w:sz w:val="24"/>
          <w:szCs w:val="24"/>
        </w:rPr>
        <w:tab/>
        <w:t>£5</w:t>
      </w:r>
      <w:r w:rsidR="00F30F67" w:rsidRPr="007F3CA7">
        <w:rPr>
          <w:sz w:val="24"/>
          <w:szCs w:val="24"/>
        </w:rPr>
        <w:t>0</w:t>
      </w:r>
      <w:r w:rsidRPr="007F3CA7">
        <w:rPr>
          <w:sz w:val="24"/>
          <w:szCs w:val="24"/>
        </w:rPr>
        <w:t>k</w:t>
      </w:r>
      <w:r w:rsidR="00F30F67" w:rsidRPr="007F3CA7">
        <w:rPr>
          <w:sz w:val="24"/>
          <w:szCs w:val="24"/>
        </w:rPr>
        <w:t>;</w:t>
      </w:r>
    </w:p>
    <w:p w:rsidR="00F30F67" w:rsidRPr="007F3CA7" w:rsidRDefault="00F30F67" w:rsidP="00A26313">
      <w:pPr>
        <w:pStyle w:val="ListParagraph"/>
        <w:numPr>
          <w:ilvl w:val="0"/>
          <w:numId w:val="28"/>
        </w:numPr>
        <w:spacing w:after="200" w:line="276" w:lineRule="auto"/>
        <w:jc w:val="left"/>
        <w:rPr>
          <w:sz w:val="24"/>
          <w:szCs w:val="24"/>
        </w:rPr>
      </w:pPr>
      <w:r w:rsidRPr="007F3CA7">
        <w:rPr>
          <w:sz w:val="24"/>
          <w:szCs w:val="24"/>
        </w:rPr>
        <w:t>GDH Vacancies:</w:t>
      </w:r>
      <w:r w:rsidRPr="007F3CA7">
        <w:rPr>
          <w:sz w:val="24"/>
          <w:szCs w:val="24"/>
        </w:rPr>
        <w:tab/>
      </w:r>
      <w:r w:rsidRPr="007F3CA7">
        <w:rPr>
          <w:sz w:val="24"/>
          <w:szCs w:val="24"/>
        </w:rPr>
        <w:tab/>
      </w:r>
      <w:r w:rsidRPr="007F3CA7">
        <w:rPr>
          <w:sz w:val="24"/>
          <w:szCs w:val="24"/>
        </w:rPr>
        <w:tab/>
      </w:r>
      <w:r w:rsidRPr="007F3CA7">
        <w:rPr>
          <w:sz w:val="24"/>
          <w:szCs w:val="24"/>
        </w:rPr>
        <w:tab/>
        <w:t>£35k</w:t>
      </w:r>
    </w:p>
    <w:p w:rsidR="00F30F67" w:rsidRPr="007F3CA7" w:rsidRDefault="00F30F67" w:rsidP="00A26313">
      <w:pPr>
        <w:pStyle w:val="ListParagraph"/>
        <w:numPr>
          <w:ilvl w:val="0"/>
          <w:numId w:val="28"/>
        </w:numPr>
        <w:spacing w:after="200" w:line="276" w:lineRule="auto"/>
        <w:jc w:val="left"/>
        <w:rPr>
          <w:sz w:val="24"/>
          <w:szCs w:val="24"/>
        </w:rPr>
      </w:pPr>
      <w:r w:rsidRPr="007F3CA7">
        <w:rPr>
          <w:sz w:val="24"/>
          <w:szCs w:val="24"/>
        </w:rPr>
        <w:t xml:space="preserve">DPoW </w:t>
      </w:r>
      <w:r w:rsidR="00A65520" w:rsidRPr="007F3CA7">
        <w:rPr>
          <w:sz w:val="24"/>
          <w:szCs w:val="24"/>
        </w:rPr>
        <w:t>Escalation</w:t>
      </w:r>
      <w:r w:rsidRPr="007F3CA7">
        <w:rPr>
          <w:sz w:val="24"/>
          <w:szCs w:val="24"/>
        </w:rPr>
        <w:t xml:space="preserve"> Beds:</w:t>
      </w:r>
      <w:r w:rsidRPr="007F3CA7">
        <w:rPr>
          <w:sz w:val="24"/>
          <w:szCs w:val="24"/>
        </w:rPr>
        <w:tab/>
      </w:r>
      <w:r w:rsidRPr="007F3CA7">
        <w:rPr>
          <w:sz w:val="24"/>
          <w:szCs w:val="24"/>
        </w:rPr>
        <w:tab/>
      </w:r>
      <w:r w:rsidRPr="007F3CA7">
        <w:rPr>
          <w:sz w:val="24"/>
          <w:szCs w:val="24"/>
        </w:rPr>
        <w:tab/>
        <w:t>£62k;</w:t>
      </w:r>
    </w:p>
    <w:p w:rsidR="00A26313" w:rsidRPr="007F3CA7" w:rsidRDefault="00A26313" w:rsidP="00A26313">
      <w:pPr>
        <w:pStyle w:val="ListParagraph"/>
        <w:numPr>
          <w:ilvl w:val="0"/>
          <w:numId w:val="28"/>
        </w:numPr>
        <w:spacing w:after="200" w:line="276" w:lineRule="auto"/>
        <w:jc w:val="left"/>
        <w:rPr>
          <w:sz w:val="24"/>
          <w:szCs w:val="24"/>
        </w:rPr>
      </w:pPr>
      <w:r w:rsidRPr="007F3CA7">
        <w:rPr>
          <w:sz w:val="24"/>
          <w:szCs w:val="24"/>
        </w:rPr>
        <w:t>DPoW A&amp;E:</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w:t>
      </w:r>
      <w:r w:rsidR="00F30F67" w:rsidRPr="007F3CA7">
        <w:rPr>
          <w:sz w:val="24"/>
          <w:szCs w:val="24"/>
        </w:rPr>
        <w:t>51</w:t>
      </w:r>
      <w:r w:rsidRPr="007F3CA7">
        <w:rPr>
          <w:sz w:val="24"/>
          <w:szCs w:val="24"/>
        </w:rPr>
        <w:t>k;</w:t>
      </w:r>
    </w:p>
    <w:p w:rsidR="007F3CA7" w:rsidRPr="007F3CA7" w:rsidRDefault="007F3CA7" w:rsidP="00A26313">
      <w:pPr>
        <w:pStyle w:val="ListParagraph"/>
        <w:numPr>
          <w:ilvl w:val="0"/>
          <w:numId w:val="28"/>
        </w:numPr>
        <w:spacing w:after="200" w:line="276" w:lineRule="auto"/>
        <w:jc w:val="left"/>
        <w:rPr>
          <w:sz w:val="24"/>
          <w:szCs w:val="24"/>
        </w:rPr>
      </w:pPr>
      <w:r w:rsidRPr="007F3CA7">
        <w:rPr>
          <w:sz w:val="24"/>
          <w:szCs w:val="24"/>
        </w:rPr>
        <w:t>ACP’s</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£79k</w:t>
      </w:r>
    </w:p>
    <w:p w:rsidR="00A26313" w:rsidRPr="007F3CA7" w:rsidRDefault="00A26313" w:rsidP="00A26313">
      <w:pPr>
        <w:pStyle w:val="ListParagraph"/>
        <w:numPr>
          <w:ilvl w:val="0"/>
          <w:numId w:val="28"/>
        </w:numPr>
        <w:spacing w:after="200" w:line="276" w:lineRule="auto"/>
        <w:jc w:val="left"/>
        <w:rPr>
          <w:sz w:val="24"/>
          <w:szCs w:val="24"/>
        </w:rPr>
      </w:pPr>
      <w:r w:rsidRPr="007F3CA7">
        <w:rPr>
          <w:sz w:val="24"/>
          <w:szCs w:val="24"/>
        </w:rPr>
        <w:t>Offset by specialist nurse vacancies</w:t>
      </w:r>
    </w:p>
    <w:p w:rsidR="00A26313" w:rsidRPr="007F3CA7" w:rsidRDefault="00A26313" w:rsidP="00E850E9">
      <w:pPr>
        <w:spacing w:line="276" w:lineRule="auto"/>
        <w:jc w:val="left"/>
        <w:rPr>
          <w:b/>
          <w:sz w:val="24"/>
          <w:szCs w:val="24"/>
        </w:rPr>
      </w:pPr>
      <w:r w:rsidRPr="007F3CA7">
        <w:rPr>
          <w:b/>
          <w:sz w:val="24"/>
          <w:szCs w:val="24"/>
        </w:rPr>
        <w:t>Admin and Management:</w:t>
      </w:r>
    </w:p>
    <w:p w:rsidR="00A26313" w:rsidRPr="007F3CA7" w:rsidRDefault="00A26313" w:rsidP="00A26313">
      <w:pPr>
        <w:pStyle w:val="ListParagraph"/>
        <w:numPr>
          <w:ilvl w:val="0"/>
          <w:numId w:val="28"/>
        </w:numPr>
        <w:spacing w:after="200" w:line="276" w:lineRule="auto"/>
        <w:jc w:val="left"/>
        <w:rPr>
          <w:sz w:val="24"/>
          <w:szCs w:val="24"/>
        </w:rPr>
      </w:pPr>
      <w:r w:rsidRPr="007F3CA7">
        <w:rPr>
          <w:sz w:val="24"/>
          <w:szCs w:val="24"/>
        </w:rPr>
        <w:t>Management Team premium</w:t>
      </w:r>
      <w:r w:rsidR="00E850E9" w:rsidRPr="007F3CA7">
        <w:rPr>
          <w:sz w:val="24"/>
          <w:szCs w:val="24"/>
        </w:rPr>
        <w:t>:</w:t>
      </w:r>
      <w:r w:rsidR="00E850E9" w:rsidRPr="007F3CA7">
        <w:rPr>
          <w:sz w:val="24"/>
          <w:szCs w:val="24"/>
        </w:rPr>
        <w:tab/>
      </w:r>
      <w:r w:rsidR="00E850E9" w:rsidRPr="007F3CA7">
        <w:rPr>
          <w:sz w:val="24"/>
          <w:szCs w:val="24"/>
        </w:rPr>
        <w:tab/>
        <w:t>£</w:t>
      </w:r>
      <w:r w:rsidR="007F3CA7" w:rsidRPr="007F3CA7">
        <w:rPr>
          <w:sz w:val="24"/>
          <w:szCs w:val="24"/>
        </w:rPr>
        <w:t>55</w:t>
      </w:r>
      <w:r w:rsidR="00E850E9" w:rsidRPr="007F3CA7">
        <w:rPr>
          <w:sz w:val="24"/>
          <w:szCs w:val="24"/>
        </w:rPr>
        <w:t>k</w:t>
      </w:r>
    </w:p>
    <w:p w:rsidR="00E850E9" w:rsidRPr="007F3CA7" w:rsidRDefault="00E850E9" w:rsidP="00E850E9">
      <w:pPr>
        <w:pStyle w:val="ListParagraph"/>
        <w:spacing w:line="276" w:lineRule="auto"/>
        <w:jc w:val="left"/>
        <w:rPr>
          <w:sz w:val="24"/>
          <w:szCs w:val="24"/>
        </w:rPr>
      </w:pPr>
    </w:p>
    <w:p w:rsidR="00E850E9" w:rsidRPr="007F3CA7" w:rsidRDefault="00E850E9" w:rsidP="00E850E9">
      <w:pPr>
        <w:spacing w:after="200" w:line="276" w:lineRule="auto"/>
        <w:jc w:val="left"/>
        <w:rPr>
          <w:b/>
          <w:sz w:val="24"/>
          <w:szCs w:val="24"/>
        </w:rPr>
      </w:pPr>
      <w:r w:rsidRPr="007F3CA7">
        <w:rPr>
          <w:b/>
          <w:sz w:val="24"/>
          <w:szCs w:val="24"/>
        </w:rPr>
        <w:t>Savings Delivery – Material YTD Variances:</w:t>
      </w:r>
    </w:p>
    <w:p w:rsidR="00E850E9" w:rsidRPr="007F3CA7" w:rsidRDefault="00E850E9" w:rsidP="00E850E9">
      <w:pPr>
        <w:pStyle w:val="ListParagraph"/>
        <w:numPr>
          <w:ilvl w:val="0"/>
          <w:numId w:val="28"/>
        </w:numPr>
        <w:spacing w:after="200" w:line="276" w:lineRule="auto"/>
        <w:jc w:val="left"/>
        <w:rPr>
          <w:sz w:val="24"/>
          <w:szCs w:val="24"/>
        </w:rPr>
      </w:pPr>
      <w:r w:rsidRPr="007F3CA7">
        <w:rPr>
          <w:sz w:val="24"/>
          <w:szCs w:val="24"/>
        </w:rPr>
        <w:t>CNS Nurse shifts not implemented:</w:t>
      </w:r>
      <w:r w:rsidRPr="007F3CA7">
        <w:rPr>
          <w:sz w:val="24"/>
          <w:szCs w:val="24"/>
        </w:rPr>
        <w:tab/>
        <w:t>£</w:t>
      </w:r>
      <w:r w:rsidR="007F3CA7" w:rsidRPr="007F3CA7">
        <w:rPr>
          <w:sz w:val="24"/>
          <w:szCs w:val="24"/>
        </w:rPr>
        <w:t>81</w:t>
      </w:r>
      <w:r w:rsidRPr="007F3CA7">
        <w:rPr>
          <w:sz w:val="24"/>
          <w:szCs w:val="24"/>
        </w:rPr>
        <w:t>k;</w:t>
      </w:r>
    </w:p>
    <w:p w:rsidR="00E850E9" w:rsidRPr="007F3CA7" w:rsidRDefault="00E850E9" w:rsidP="00E850E9">
      <w:pPr>
        <w:pStyle w:val="ListParagraph"/>
        <w:numPr>
          <w:ilvl w:val="0"/>
          <w:numId w:val="28"/>
        </w:numPr>
        <w:spacing w:after="200" w:line="276" w:lineRule="auto"/>
        <w:jc w:val="left"/>
        <w:rPr>
          <w:sz w:val="24"/>
          <w:szCs w:val="24"/>
        </w:rPr>
      </w:pPr>
      <w:r w:rsidRPr="007F3CA7">
        <w:rPr>
          <w:sz w:val="24"/>
          <w:szCs w:val="24"/>
        </w:rPr>
        <w:t xml:space="preserve">Agency Management – </w:t>
      </w:r>
      <w:r w:rsidR="00A65520" w:rsidRPr="007F3CA7">
        <w:rPr>
          <w:sz w:val="24"/>
          <w:szCs w:val="24"/>
        </w:rPr>
        <w:t>Med staffing</w:t>
      </w:r>
      <w:r w:rsidRPr="007F3CA7">
        <w:rPr>
          <w:sz w:val="24"/>
          <w:szCs w:val="24"/>
        </w:rPr>
        <w:t>:</w:t>
      </w:r>
      <w:r w:rsidRPr="007F3CA7">
        <w:rPr>
          <w:sz w:val="24"/>
          <w:szCs w:val="24"/>
        </w:rPr>
        <w:tab/>
        <w:t>£</w:t>
      </w:r>
      <w:r w:rsidR="007F3CA7" w:rsidRPr="007F3CA7">
        <w:rPr>
          <w:sz w:val="24"/>
          <w:szCs w:val="24"/>
        </w:rPr>
        <w:t>82</w:t>
      </w:r>
      <w:r w:rsidRPr="007F3CA7">
        <w:rPr>
          <w:sz w:val="24"/>
          <w:szCs w:val="24"/>
        </w:rPr>
        <w:t>k.</w:t>
      </w:r>
    </w:p>
    <w:p w:rsidR="007F3CA7" w:rsidRDefault="007F3CA7">
      <w:pPr>
        <w:spacing w:after="200" w:line="276" w:lineRule="auto"/>
        <w:jc w:val="left"/>
        <w:rPr>
          <w:b/>
          <w:sz w:val="24"/>
          <w:szCs w:val="24"/>
        </w:rPr>
      </w:pPr>
      <w:r>
        <w:rPr>
          <w:b/>
          <w:sz w:val="24"/>
          <w:szCs w:val="24"/>
        </w:rPr>
        <w:br w:type="page"/>
      </w:r>
    </w:p>
    <w:p w:rsidR="008C2057" w:rsidRPr="00DF43F3" w:rsidRDefault="00DF43F3" w:rsidP="00654530">
      <w:pPr>
        <w:rPr>
          <w:b/>
          <w:sz w:val="24"/>
          <w:szCs w:val="24"/>
        </w:rPr>
      </w:pPr>
      <w:r w:rsidRPr="00DF43F3">
        <w:rPr>
          <w:b/>
          <w:sz w:val="24"/>
          <w:szCs w:val="24"/>
        </w:rPr>
        <w:lastRenderedPageBreak/>
        <w:t>Operations Directorate – Women and Children’s Services:</w:t>
      </w:r>
    </w:p>
    <w:p w:rsidR="00DF43F3" w:rsidRDefault="00DF43F3" w:rsidP="00654530">
      <w:pPr>
        <w:rPr>
          <w:sz w:val="24"/>
          <w:szCs w:val="24"/>
        </w:rPr>
      </w:pPr>
    </w:p>
    <w:p w:rsidR="00DF43F3" w:rsidRDefault="00DF43F3" w:rsidP="00654530">
      <w:pPr>
        <w:rPr>
          <w:sz w:val="24"/>
          <w:szCs w:val="24"/>
        </w:rPr>
      </w:pPr>
      <w:r>
        <w:rPr>
          <w:sz w:val="24"/>
          <w:szCs w:val="24"/>
        </w:rPr>
        <w:t>The</w:t>
      </w:r>
      <w:r w:rsidR="00C1264B">
        <w:rPr>
          <w:sz w:val="24"/>
          <w:szCs w:val="24"/>
        </w:rPr>
        <w:t xml:space="preserve"> Division are overspent by £93</w:t>
      </w:r>
      <w:r w:rsidR="001851AD">
        <w:rPr>
          <w:sz w:val="24"/>
          <w:szCs w:val="24"/>
        </w:rPr>
        <w:t>k (</w:t>
      </w:r>
      <w:r w:rsidR="00C1264B">
        <w:rPr>
          <w:sz w:val="24"/>
          <w:szCs w:val="24"/>
        </w:rPr>
        <w:t>0.8</w:t>
      </w:r>
      <w:r>
        <w:rPr>
          <w:sz w:val="24"/>
          <w:szCs w:val="24"/>
        </w:rPr>
        <w:t>%</w:t>
      </w:r>
      <w:r w:rsidR="001851AD">
        <w:rPr>
          <w:sz w:val="24"/>
          <w:szCs w:val="24"/>
        </w:rPr>
        <w:t>), broken down as follows:</w:t>
      </w:r>
    </w:p>
    <w:p w:rsidR="008C2057" w:rsidRPr="00A23509" w:rsidRDefault="008C2057" w:rsidP="00654530">
      <w:pPr>
        <w:rPr>
          <w:sz w:val="24"/>
          <w:szCs w:val="24"/>
        </w:rPr>
      </w:pPr>
    </w:p>
    <w:tbl>
      <w:tblPr>
        <w:tblW w:w="10363" w:type="dxa"/>
        <w:tblInd w:w="93" w:type="dxa"/>
        <w:tblLook w:val="04A0" w:firstRow="1" w:lastRow="0" w:firstColumn="1" w:lastColumn="0" w:noHBand="0" w:noVBand="1"/>
      </w:tblPr>
      <w:tblGrid>
        <w:gridCol w:w="4420"/>
        <w:gridCol w:w="2399"/>
        <w:gridCol w:w="1843"/>
        <w:gridCol w:w="1701"/>
      </w:tblGrid>
      <w:tr w:rsidR="00DF43F3" w:rsidRPr="00DF43F3" w:rsidTr="00DF43F3">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DF43F3" w:rsidRPr="00DF43F3" w:rsidRDefault="00DF43F3" w:rsidP="00DF43F3">
            <w:pPr>
              <w:jc w:val="left"/>
              <w:rPr>
                <w:rFonts w:ascii="Calibri" w:eastAsia="Times New Roman" w:hAnsi="Calibri" w:cs="Times New Roman"/>
                <w:b/>
                <w:color w:val="000000"/>
                <w:lang w:eastAsia="en-GB"/>
              </w:rPr>
            </w:pPr>
            <w:r w:rsidRPr="00DF43F3">
              <w:rPr>
                <w:rFonts w:ascii="Calibri" w:eastAsia="Times New Roman" w:hAnsi="Calibri" w:cs="Times New Roman"/>
                <w:b/>
                <w:color w:val="000000"/>
                <w:lang w:eastAsia="en-GB"/>
              </w:rPr>
              <w:t>Expenditure Category</w:t>
            </w:r>
          </w:p>
        </w:tc>
        <w:tc>
          <w:tcPr>
            <w:tcW w:w="2399" w:type="dxa"/>
            <w:tcBorders>
              <w:top w:val="single" w:sz="4" w:space="0" w:color="000000"/>
              <w:left w:val="single" w:sz="4" w:space="0" w:color="000000"/>
              <w:bottom w:val="nil"/>
              <w:right w:val="nil"/>
            </w:tcBorders>
            <w:shd w:val="clear" w:color="auto" w:fill="auto"/>
            <w:noWrap/>
            <w:vAlign w:val="bottom"/>
            <w:hideMark/>
          </w:tcPr>
          <w:p w:rsidR="00DF43F3" w:rsidRPr="00DF43F3" w:rsidRDefault="00DF43F3" w:rsidP="00DF43F3">
            <w:pPr>
              <w:jc w:val="center"/>
              <w:rPr>
                <w:rFonts w:ascii="Calibri" w:eastAsia="Times New Roman" w:hAnsi="Calibri" w:cs="Times New Roman"/>
                <w:b/>
                <w:color w:val="000000"/>
                <w:lang w:eastAsia="en-GB"/>
              </w:rPr>
            </w:pPr>
            <w:r w:rsidRPr="00DF43F3">
              <w:rPr>
                <w:rFonts w:ascii="Calibri" w:eastAsia="Times New Roman" w:hAnsi="Calibri" w:cs="Times New Roman"/>
                <w:b/>
                <w:color w:val="000000"/>
                <w:lang w:eastAsia="en-GB"/>
              </w:rPr>
              <w:t>YTD Budget £000s</w:t>
            </w:r>
          </w:p>
        </w:tc>
        <w:tc>
          <w:tcPr>
            <w:tcW w:w="1843" w:type="dxa"/>
            <w:tcBorders>
              <w:top w:val="single" w:sz="4" w:space="0" w:color="000000"/>
              <w:left w:val="nil"/>
              <w:bottom w:val="nil"/>
              <w:right w:val="nil"/>
            </w:tcBorders>
            <w:shd w:val="clear" w:color="auto" w:fill="auto"/>
            <w:noWrap/>
            <w:vAlign w:val="bottom"/>
            <w:hideMark/>
          </w:tcPr>
          <w:p w:rsidR="00DF43F3" w:rsidRPr="00DF43F3" w:rsidRDefault="00DF43F3" w:rsidP="00DF43F3">
            <w:pPr>
              <w:jc w:val="center"/>
              <w:rPr>
                <w:rFonts w:ascii="Calibri" w:eastAsia="Times New Roman" w:hAnsi="Calibri" w:cs="Times New Roman"/>
                <w:b/>
                <w:color w:val="000000"/>
                <w:lang w:eastAsia="en-GB"/>
              </w:rPr>
            </w:pPr>
            <w:r w:rsidRPr="00DF43F3">
              <w:rPr>
                <w:rFonts w:ascii="Calibri" w:eastAsia="Times New Roman" w:hAnsi="Calibri" w:cs="Times New Roman"/>
                <w:b/>
                <w:color w:val="000000"/>
                <w:lang w:eastAsia="en-GB"/>
              </w:rPr>
              <w:t>YTD Actual £000s</w:t>
            </w:r>
          </w:p>
        </w:tc>
        <w:tc>
          <w:tcPr>
            <w:tcW w:w="1701" w:type="dxa"/>
            <w:tcBorders>
              <w:top w:val="single" w:sz="4" w:space="0" w:color="000000"/>
              <w:left w:val="nil"/>
              <w:bottom w:val="nil"/>
              <w:right w:val="single" w:sz="4" w:space="0" w:color="000000"/>
            </w:tcBorders>
            <w:shd w:val="clear" w:color="auto" w:fill="auto"/>
            <w:noWrap/>
            <w:vAlign w:val="bottom"/>
            <w:hideMark/>
          </w:tcPr>
          <w:p w:rsidR="00DF43F3" w:rsidRPr="00DF43F3" w:rsidRDefault="00DF43F3" w:rsidP="00DF43F3">
            <w:pPr>
              <w:jc w:val="center"/>
              <w:rPr>
                <w:rFonts w:ascii="Calibri" w:eastAsia="Times New Roman" w:hAnsi="Calibri" w:cs="Times New Roman"/>
                <w:b/>
                <w:color w:val="000000"/>
                <w:lang w:eastAsia="en-GB"/>
              </w:rPr>
            </w:pPr>
            <w:r w:rsidRPr="00DF43F3">
              <w:rPr>
                <w:rFonts w:ascii="Calibri" w:eastAsia="Times New Roman" w:hAnsi="Calibri" w:cs="Times New Roman"/>
                <w:b/>
                <w:color w:val="000000"/>
                <w:lang w:eastAsia="en-GB"/>
              </w:rPr>
              <w:t>Variance £000s</w:t>
            </w:r>
          </w:p>
        </w:tc>
      </w:tr>
      <w:tr w:rsidR="00C1264B" w:rsidRPr="00DF43F3" w:rsidTr="00DF43F3">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Medical Staff</w:t>
            </w:r>
          </w:p>
        </w:tc>
        <w:tc>
          <w:tcPr>
            <w:tcW w:w="2399" w:type="dxa"/>
            <w:tcBorders>
              <w:top w:val="single" w:sz="4" w:space="0" w:color="000000"/>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3,235.6</w:t>
            </w:r>
          </w:p>
        </w:tc>
        <w:tc>
          <w:tcPr>
            <w:tcW w:w="1843" w:type="dxa"/>
            <w:tcBorders>
              <w:top w:val="single" w:sz="4" w:space="0" w:color="000000"/>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3,315.3</w:t>
            </w:r>
          </w:p>
        </w:tc>
        <w:tc>
          <w:tcPr>
            <w:tcW w:w="1701" w:type="dxa"/>
            <w:tcBorders>
              <w:top w:val="single" w:sz="4" w:space="0" w:color="000000"/>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(79.7)</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Establishment Expenses</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77.4</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92.6</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(15.2)</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Nursing Staff</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6,478.1</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6,483.6</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(5.4)</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Purchase of Healthcare Services</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87.6</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91.3</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(3.7)</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Premises and Fixed Plant</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27.6</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30.5</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(2.9)</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Miscellaneous Expenditure</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0.0</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2.8</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(2.8)</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General Supplies &amp; Services</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44.0</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45.1</w:t>
            </w:r>
          </w:p>
        </w:tc>
        <w:tc>
          <w:tcPr>
            <w:tcW w:w="1701" w:type="dxa"/>
            <w:tcBorders>
              <w:top w:val="nil"/>
              <w:left w:val="nil"/>
              <w:bottom w:val="nil"/>
              <w:right w:val="single" w:sz="4" w:space="0" w:color="000000"/>
            </w:tcBorders>
            <w:shd w:val="clear" w:color="auto" w:fill="auto"/>
            <w:noWrap/>
            <w:vAlign w:val="bottom"/>
            <w:hideMark/>
          </w:tcPr>
          <w:p w:rsidR="00C1264B" w:rsidRPr="00C1264B" w:rsidRDefault="00C1264B">
            <w:pPr>
              <w:jc w:val="right"/>
              <w:rPr>
                <w:rFonts w:ascii="Calibri" w:hAnsi="Calibri"/>
                <w:color w:val="FF0000"/>
              </w:rPr>
            </w:pPr>
            <w:r w:rsidRPr="00C1264B">
              <w:rPr>
                <w:rFonts w:ascii="Calibri" w:hAnsi="Calibri"/>
                <w:color w:val="FF0000"/>
              </w:rPr>
              <w:t>(1.1)</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Education Expenditure</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8.1</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8.0</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0.0</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NHS Clinical Income</w:t>
            </w:r>
          </w:p>
        </w:tc>
        <w:tc>
          <w:tcPr>
            <w:tcW w:w="2399" w:type="dxa"/>
            <w:tcBorders>
              <w:top w:val="nil"/>
              <w:left w:val="single" w:sz="4" w:space="0" w:color="000000"/>
              <w:bottom w:val="nil"/>
              <w:right w:val="nil"/>
            </w:tcBorders>
            <w:shd w:val="clear" w:color="auto" w:fill="auto"/>
            <w:noWrap/>
            <w:vAlign w:val="bottom"/>
            <w:hideMark/>
          </w:tcPr>
          <w:p w:rsidR="00C1264B" w:rsidRPr="00910118" w:rsidRDefault="00910118">
            <w:pPr>
              <w:jc w:val="right"/>
              <w:rPr>
                <w:rFonts w:ascii="Calibri" w:hAnsi="Calibri"/>
                <w:color w:val="FF0000"/>
              </w:rPr>
            </w:pPr>
            <w:r w:rsidRPr="00910118">
              <w:rPr>
                <w:rFonts w:ascii="Calibri" w:hAnsi="Calibri"/>
                <w:color w:val="FF0000"/>
              </w:rPr>
              <w:t>(</w:t>
            </w:r>
            <w:r w:rsidR="00C1264B" w:rsidRPr="00910118">
              <w:rPr>
                <w:rFonts w:ascii="Calibri" w:hAnsi="Calibri"/>
                <w:color w:val="FF0000"/>
              </w:rPr>
              <w:t>0.5</w:t>
            </w:r>
            <w:r w:rsidRPr="00910118">
              <w:rPr>
                <w:rFonts w:ascii="Calibri" w:hAnsi="Calibri"/>
                <w:color w:val="FF0000"/>
              </w:rPr>
              <w:t>)</w:t>
            </w:r>
          </w:p>
        </w:tc>
        <w:tc>
          <w:tcPr>
            <w:tcW w:w="1843" w:type="dxa"/>
            <w:tcBorders>
              <w:top w:val="nil"/>
              <w:left w:val="nil"/>
              <w:bottom w:val="nil"/>
              <w:right w:val="nil"/>
            </w:tcBorders>
            <w:shd w:val="clear" w:color="auto" w:fill="auto"/>
            <w:noWrap/>
            <w:vAlign w:val="bottom"/>
            <w:hideMark/>
          </w:tcPr>
          <w:p w:rsidR="00C1264B" w:rsidRPr="00910118" w:rsidRDefault="00910118">
            <w:pPr>
              <w:jc w:val="right"/>
              <w:rPr>
                <w:rFonts w:ascii="Calibri" w:hAnsi="Calibri"/>
                <w:color w:val="FF0000"/>
              </w:rPr>
            </w:pPr>
            <w:r w:rsidRPr="00910118">
              <w:rPr>
                <w:rFonts w:ascii="Calibri" w:hAnsi="Calibri"/>
                <w:color w:val="FF0000"/>
              </w:rPr>
              <w:t>(</w:t>
            </w:r>
            <w:r w:rsidR="00C1264B" w:rsidRPr="00910118">
              <w:rPr>
                <w:rFonts w:ascii="Calibri" w:hAnsi="Calibri"/>
                <w:color w:val="FF0000"/>
              </w:rPr>
              <w:t>0.5</w:t>
            </w:r>
            <w:r w:rsidRPr="00910118">
              <w:rPr>
                <w:rFonts w:ascii="Calibri" w:hAnsi="Calibri"/>
                <w:color w:val="FF0000"/>
              </w:rPr>
              <w:t>)</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0.0</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Other Income</w:t>
            </w:r>
          </w:p>
        </w:tc>
        <w:tc>
          <w:tcPr>
            <w:tcW w:w="2399" w:type="dxa"/>
            <w:tcBorders>
              <w:top w:val="nil"/>
              <w:left w:val="single" w:sz="4" w:space="0" w:color="000000"/>
              <w:bottom w:val="nil"/>
              <w:right w:val="nil"/>
            </w:tcBorders>
            <w:shd w:val="clear" w:color="auto" w:fill="auto"/>
            <w:noWrap/>
            <w:vAlign w:val="bottom"/>
            <w:hideMark/>
          </w:tcPr>
          <w:p w:rsidR="00C1264B" w:rsidRPr="00910118" w:rsidRDefault="00910118">
            <w:pPr>
              <w:jc w:val="right"/>
              <w:rPr>
                <w:rFonts w:ascii="Calibri" w:hAnsi="Calibri"/>
                <w:color w:val="FF0000"/>
              </w:rPr>
            </w:pPr>
            <w:r w:rsidRPr="00910118">
              <w:rPr>
                <w:rFonts w:ascii="Calibri" w:hAnsi="Calibri"/>
                <w:color w:val="FF0000"/>
              </w:rPr>
              <w:t>(</w:t>
            </w:r>
            <w:r w:rsidR="00C1264B" w:rsidRPr="00910118">
              <w:rPr>
                <w:rFonts w:ascii="Calibri" w:hAnsi="Calibri"/>
                <w:color w:val="FF0000"/>
              </w:rPr>
              <w:t>2.0</w:t>
            </w:r>
            <w:r w:rsidRPr="00910118">
              <w:rPr>
                <w:rFonts w:ascii="Calibri" w:hAnsi="Calibri"/>
                <w:color w:val="FF0000"/>
              </w:rPr>
              <w:t>)</w:t>
            </w:r>
          </w:p>
        </w:tc>
        <w:tc>
          <w:tcPr>
            <w:tcW w:w="1843" w:type="dxa"/>
            <w:tcBorders>
              <w:top w:val="nil"/>
              <w:left w:val="nil"/>
              <w:bottom w:val="nil"/>
              <w:right w:val="nil"/>
            </w:tcBorders>
            <w:shd w:val="clear" w:color="auto" w:fill="auto"/>
            <w:noWrap/>
            <w:vAlign w:val="bottom"/>
            <w:hideMark/>
          </w:tcPr>
          <w:p w:rsidR="00C1264B" w:rsidRPr="00910118" w:rsidRDefault="00910118">
            <w:pPr>
              <w:jc w:val="right"/>
              <w:rPr>
                <w:rFonts w:ascii="Calibri" w:hAnsi="Calibri"/>
                <w:color w:val="FF0000"/>
              </w:rPr>
            </w:pPr>
            <w:r w:rsidRPr="00910118">
              <w:rPr>
                <w:rFonts w:ascii="Calibri" w:hAnsi="Calibri"/>
                <w:color w:val="FF0000"/>
              </w:rPr>
              <w:t>(</w:t>
            </w:r>
            <w:r w:rsidR="00C1264B" w:rsidRPr="00910118">
              <w:rPr>
                <w:rFonts w:ascii="Calibri" w:hAnsi="Calibri"/>
                <w:color w:val="FF0000"/>
              </w:rPr>
              <w:t>2.7</w:t>
            </w:r>
            <w:r w:rsidRPr="00910118">
              <w:rPr>
                <w:rFonts w:ascii="Calibri" w:hAnsi="Calibri"/>
                <w:color w:val="FF0000"/>
              </w:rPr>
              <w:t>)</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0.7</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Admin &amp; Clerical Staff</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849.0</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848.1</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0.9</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tcPr>
          <w:p w:rsidR="00C1264B" w:rsidRDefault="00C1264B">
            <w:pPr>
              <w:rPr>
                <w:rFonts w:ascii="Calibri" w:hAnsi="Calibri"/>
                <w:color w:val="000000"/>
              </w:rPr>
            </w:pPr>
            <w:r>
              <w:rPr>
                <w:rFonts w:ascii="Calibri" w:hAnsi="Calibri"/>
                <w:color w:val="000000"/>
              </w:rPr>
              <w:t>Drugs</w:t>
            </w:r>
          </w:p>
        </w:tc>
        <w:tc>
          <w:tcPr>
            <w:tcW w:w="2399" w:type="dxa"/>
            <w:tcBorders>
              <w:top w:val="nil"/>
              <w:left w:val="single" w:sz="4" w:space="0" w:color="000000"/>
              <w:bottom w:val="nil"/>
              <w:right w:val="nil"/>
            </w:tcBorders>
            <w:shd w:val="clear" w:color="auto" w:fill="auto"/>
            <w:noWrap/>
            <w:vAlign w:val="bottom"/>
          </w:tcPr>
          <w:p w:rsidR="00C1264B" w:rsidRDefault="00C1264B">
            <w:pPr>
              <w:jc w:val="right"/>
              <w:rPr>
                <w:rFonts w:ascii="Calibri" w:hAnsi="Calibri"/>
                <w:color w:val="000000"/>
              </w:rPr>
            </w:pPr>
            <w:r>
              <w:rPr>
                <w:rFonts w:ascii="Calibri" w:hAnsi="Calibri"/>
                <w:color w:val="000000"/>
              </w:rPr>
              <w:t>378.3</w:t>
            </w:r>
          </w:p>
        </w:tc>
        <w:tc>
          <w:tcPr>
            <w:tcW w:w="1843" w:type="dxa"/>
            <w:tcBorders>
              <w:top w:val="nil"/>
              <w:left w:val="nil"/>
              <w:bottom w:val="nil"/>
              <w:right w:val="nil"/>
            </w:tcBorders>
            <w:shd w:val="clear" w:color="auto" w:fill="auto"/>
            <w:noWrap/>
            <w:vAlign w:val="bottom"/>
          </w:tcPr>
          <w:p w:rsidR="00C1264B" w:rsidRDefault="00C1264B">
            <w:pPr>
              <w:jc w:val="right"/>
              <w:rPr>
                <w:rFonts w:ascii="Calibri" w:hAnsi="Calibri"/>
                <w:color w:val="000000"/>
              </w:rPr>
            </w:pPr>
            <w:r>
              <w:rPr>
                <w:rFonts w:ascii="Calibri" w:hAnsi="Calibri"/>
                <w:color w:val="000000"/>
              </w:rPr>
              <w:t>372.0</w:t>
            </w:r>
          </w:p>
        </w:tc>
        <w:tc>
          <w:tcPr>
            <w:tcW w:w="1701" w:type="dxa"/>
            <w:tcBorders>
              <w:top w:val="nil"/>
              <w:left w:val="nil"/>
              <w:bottom w:val="nil"/>
              <w:right w:val="single" w:sz="4" w:space="0" w:color="000000"/>
            </w:tcBorders>
            <w:shd w:val="clear" w:color="auto" w:fill="auto"/>
            <w:noWrap/>
            <w:vAlign w:val="bottom"/>
          </w:tcPr>
          <w:p w:rsidR="00C1264B" w:rsidRDefault="00C1264B">
            <w:pPr>
              <w:jc w:val="right"/>
              <w:rPr>
                <w:rFonts w:ascii="Calibri" w:hAnsi="Calibri"/>
                <w:color w:val="000000"/>
              </w:rPr>
            </w:pPr>
            <w:r>
              <w:rPr>
                <w:rFonts w:ascii="Calibri" w:hAnsi="Calibri"/>
                <w:color w:val="000000"/>
              </w:rPr>
              <w:t>6.3</w:t>
            </w:r>
          </w:p>
        </w:tc>
      </w:tr>
      <w:tr w:rsidR="00C1264B" w:rsidRPr="00DF43F3" w:rsidTr="00DF43F3">
        <w:trPr>
          <w:trHeight w:val="300"/>
        </w:trPr>
        <w:tc>
          <w:tcPr>
            <w:tcW w:w="4420" w:type="dxa"/>
            <w:tcBorders>
              <w:top w:val="nil"/>
              <w:left w:val="single" w:sz="4" w:space="0" w:color="000000"/>
              <w:bottom w:val="nil"/>
              <w:right w:val="nil"/>
            </w:tcBorders>
            <w:shd w:val="clear" w:color="auto" w:fill="auto"/>
            <w:noWrap/>
            <w:vAlign w:val="bottom"/>
            <w:hideMark/>
          </w:tcPr>
          <w:p w:rsidR="00C1264B" w:rsidRDefault="00C1264B">
            <w:pPr>
              <w:rPr>
                <w:rFonts w:ascii="Calibri" w:hAnsi="Calibri"/>
                <w:color w:val="000000"/>
              </w:rPr>
            </w:pPr>
            <w:r>
              <w:rPr>
                <w:rFonts w:ascii="Calibri" w:hAnsi="Calibri"/>
                <w:color w:val="000000"/>
              </w:rPr>
              <w:t>Clinical Supplies &amp; Services</w:t>
            </w:r>
          </w:p>
        </w:tc>
        <w:tc>
          <w:tcPr>
            <w:tcW w:w="2399" w:type="dxa"/>
            <w:tcBorders>
              <w:top w:val="nil"/>
              <w:left w:val="single" w:sz="4" w:space="0" w:color="000000"/>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599.3</w:t>
            </w:r>
          </w:p>
        </w:tc>
        <w:tc>
          <w:tcPr>
            <w:tcW w:w="1843" w:type="dxa"/>
            <w:tcBorders>
              <w:top w:val="nil"/>
              <w:left w:val="nil"/>
              <w:bottom w:val="nil"/>
              <w:right w:val="nil"/>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589.3</w:t>
            </w:r>
          </w:p>
        </w:tc>
        <w:tc>
          <w:tcPr>
            <w:tcW w:w="1701" w:type="dxa"/>
            <w:tcBorders>
              <w:top w:val="nil"/>
              <w:left w:val="nil"/>
              <w:bottom w:val="nil"/>
              <w:right w:val="single" w:sz="4" w:space="0" w:color="000000"/>
            </w:tcBorders>
            <w:shd w:val="clear" w:color="auto" w:fill="auto"/>
            <w:noWrap/>
            <w:vAlign w:val="bottom"/>
            <w:hideMark/>
          </w:tcPr>
          <w:p w:rsidR="00C1264B" w:rsidRDefault="00C1264B">
            <w:pPr>
              <w:jc w:val="right"/>
              <w:rPr>
                <w:rFonts w:ascii="Calibri" w:hAnsi="Calibri"/>
                <w:color w:val="000000"/>
              </w:rPr>
            </w:pPr>
            <w:r>
              <w:rPr>
                <w:rFonts w:ascii="Calibri" w:hAnsi="Calibri"/>
                <w:color w:val="000000"/>
              </w:rPr>
              <w:t>10.0</w:t>
            </w:r>
          </w:p>
        </w:tc>
      </w:tr>
      <w:tr w:rsidR="00C1264B" w:rsidRPr="00DF43F3" w:rsidTr="00DF43F3">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rPr>
                <w:rFonts w:ascii="Calibri" w:hAnsi="Calibri"/>
                <w:b/>
                <w:color w:val="000000"/>
              </w:rPr>
            </w:pPr>
            <w:r w:rsidRPr="00C1264B">
              <w:rPr>
                <w:rFonts w:ascii="Calibri" w:hAnsi="Calibri"/>
                <w:b/>
                <w:color w:val="000000"/>
              </w:rPr>
              <w:t>Total</w:t>
            </w:r>
          </w:p>
        </w:tc>
        <w:tc>
          <w:tcPr>
            <w:tcW w:w="2399" w:type="dxa"/>
            <w:tcBorders>
              <w:top w:val="single" w:sz="4" w:space="0" w:color="000000"/>
              <w:left w:val="single" w:sz="4" w:space="0" w:color="000000"/>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11,782.5</w:t>
            </w:r>
          </w:p>
        </w:tc>
        <w:tc>
          <w:tcPr>
            <w:tcW w:w="1843" w:type="dxa"/>
            <w:tcBorders>
              <w:top w:val="single" w:sz="4" w:space="0" w:color="000000"/>
              <w:left w:val="nil"/>
              <w:bottom w:val="single" w:sz="4" w:space="0" w:color="000000"/>
              <w:right w:val="nil"/>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000000"/>
              </w:rPr>
              <w:t>11,875.4</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1264B" w:rsidRPr="00C1264B" w:rsidRDefault="00C1264B">
            <w:pPr>
              <w:jc w:val="right"/>
              <w:rPr>
                <w:rFonts w:ascii="Calibri" w:hAnsi="Calibri"/>
                <w:b/>
                <w:color w:val="000000"/>
              </w:rPr>
            </w:pPr>
            <w:r w:rsidRPr="00C1264B">
              <w:rPr>
                <w:rFonts w:ascii="Calibri" w:hAnsi="Calibri"/>
                <w:b/>
                <w:color w:val="FF0000"/>
              </w:rPr>
              <w:t>(93.0)</w:t>
            </w:r>
          </w:p>
        </w:tc>
      </w:tr>
    </w:tbl>
    <w:p w:rsidR="00DF43F3" w:rsidRPr="007F3CA7" w:rsidRDefault="00DF43F3" w:rsidP="001851AD">
      <w:pPr>
        <w:spacing w:line="276" w:lineRule="auto"/>
        <w:jc w:val="left"/>
        <w:rPr>
          <w:sz w:val="24"/>
          <w:szCs w:val="24"/>
        </w:rPr>
      </w:pPr>
    </w:p>
    <w:p w:rsidR="001851AD" w:rsidRPr="007F3CA7" w:rsidRDefault="001851AD" w:rsidP="001851AD">
      <w:pPr>
        <w:spacing w:line="276" w:lineRule="auto"/>
        <w:jc w:val="left"/>
        <w:rPr>
          <w:sz w:val="24"/>
          <w:szCs w:val="24"/>
        </w:rPr>
      </w:pPr>
      <w:r w:rsidRPr="007F3CA7">
        <w:rPr>
          <w:sz w:val="24"/>
          <w:szCs w:val="24"/>
        </w:rPr>
        <w:t>Material Variances:</w:t>
      </w:r>
    </w:p>
    <w:p w:rsidR="001851AD" w:rsidRPr="007F3CA7" w:rsidRDefault="001851AD" w:rsidP="001851AD">
      <w:pPr>
        <w:spacing w:line="276" w:lineRule="auto"/>
        <w:jc w:val="left"/>
        <w:rPr>
          <w:sz w:val="24"/>
          <w:szCs w:val="24"/>
        </w:rPr>
      </w:pPr>
    </w:p>
    <w:p w:rsidR="001851AD" w:rsidRPr="007F3CA7" w:rsidRDefault="001851AD" w:rsidP="001851AD">
      <w:pPr>
        <w:spacing w:line="276" w:lineRule="auto"/>
        <w:jc w:val="left"/>
        <w:rPr>
          <w:b/>
          <w:sz w:val="24"/>
          <w:szCs w:val="24"/>
        </w:rPr>
      </w:pPr>
      <w:r w:rsidRPr="007F3CA7">
        <w:rPr>
          <w:b/>
          <w:sz w:val="24"/>
          <w:szCs w:val="24"/>
        </w:rPr>
        <w:t>Medical Staffing:</w:t>
      </w:r>
    </w:p>
    <w:p w:rsidR="00221ACA" w:rsidRPr="007F3CA7" w:rsidRDefault="00221ACA" w:rsidP="001851AD">
      <w:pPr>
        <w:pStyle w:val="ListParagraph"/>
        <w:numPr>
          <w:ilvl w:val="0"/>
          <w:numId w:val="28"/>
        </w:numPr>
        <w:spacing w:line="276" w:lineRule="auto"/>
        <w:jc w:val="left"/>
        <w:rPr>
          <w:sz w:val="24"/>
          <w:szCs w:val="24"/>
        </w:rPr>
      </w:pPr>
      <w:r w:rsidRPr="007F3CA7">
        <w:rPr>
          <w:sz w:val="24"/>
          <w:szCs w:val="24"/>
        </w:rPr>
        <w:t>Gynaecology:</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w:t>
      </w:r>
      <w:r w:rsidR="007F3CA7" w:rsidRPr="007F3CA7">
        <w:rPr>
          <w:sz w:val="24"/>
          <w:szCs w:val="24"/>
        </w:rPr>
        <w:t>35</w:t>
      </w:r>
      <w:r w:rsidRPr="007F3CA7">
        <w:rPr>
          <w:sz w:val="24"/>
          <w:szCs w:val="24"/>
        </w:rPr>
        <w:t>k</w:t>
      </w:r>
    </w:p>
    <w:p w:rsidR="00221ACA" w:rsidRPr="007F3CA7" w:rsidRDefault="00221ACA" w:rsidP="001851AD">
      <w:pPr>
        <w:pStyle w:val="ListParagraph"/>
        <w:numPr>
          <w:ilvl w:val="0"/>
          <w:numId w:val="28"/>
        </w:numPr>
        <w:spacing w:line="276" w:lineRule="auto"/>
        <w:jc w:val="left"/>
        <w:rPr>
          <w:sz w:val="24"/>
          <w:szCs w:val="24"/>
        </w:rPr>
      </w:pPr>
      <w:r w:rsidRPr="007F3CA7">
        <w:rPr>
          <w:sz w:val="24"/>
          <w:szCs w:val="24"/>
        </w:rPr>
        <w:t>Maternity:</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w:t>
      </w:r>
      <w:r w:rsidR="007F3CA7" w:rsidRPr="007F3CA7">
        <w:rPr>
          <w:sz w:val="24"/>
          <w:szCs w:val="24"/>
        </w:rPr>
        <w:t>29</w:t>
      </w:r>
      <w:r w:rsidRPr="007F3CA7">
        <w:rPr>
          <w:sz w:val="24"/>
          <w:szCs w:val="24"/>
        </w:rPr>
        <w:t>k</w:t>
      </w:r>
    </w:p>
    <w:p w:rsidR="00221ACA" w:rsidRPr="00C1264B" w:rsidRDefault="00221ACA" w:rsidP="00221ACA">
      <w:pPr>
        <w:spacing w:line="276" w:lineRule="auto"/>
        <w:jc w:val="left"/>
        <w:rPr>
          <w:color w:val="FF0000"/>
          <w:sz w:val="24"/>
          <w:szCs w:val="24"/>
        </w:rPr>
      </w:pPr>
    </w:p>
    <w:p w:rsidR="00221ACA" w:rsidRPr="007F3CA7" w:rsidRDefault="00221ACA" w:rsidP="00221ACA">
      <w:pPr>
        <w:spacing w:line="276" w:lineRule="auto"/>
        <w:jc w:val="left"/>
        <w:rPr>
          <w:b/>
          <w:sz w:val="24"/>
          <w:szCs w:val="24"/>
        </w:rPr>
      </w:pPr>
      <w:r w:rsidRPr="007F3CA7">
        <w:rPr>
          <w:b/>
          <w:sz w:val="24"/>
          <w:szCs w:val="24"/>
        </w:rPr>
        <w:t>Nursing and Midwifery:</w:t>
      </w:r>
    </w:p>
    <w:p w:rsidR="00221ACA" w:rsidRPr="007F3CA7" w:rsidRDefault="00221ACA" w:rsidP="00221ACA">
      <w:pPr>
        <w:pStyle w:val="ListParagraph"/>
        <w:numPr>
          <w:ilvl w:val="0"/>
          <w:numId w:val="28"/>
        </w:numPr>
        <w:spacing w:line="276" w:lineRule="auto"/>
        <w:jc w:val="left"/>
        <w:rPr>
          <w:sz w:val="24"/>
          <w:szCs w:val="24"/>
        </w:rPr>
      </w:pPr>
      <w:r w:rsidRPr="007F3CA7">
        <w:rPr>
          <w:sz w:val="24"/>
          <w:szCs w:val="24"/>
        </w:rPr>
        <w:t>Maternity:</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£9</w:t>
      </w:r>
      <w:r w:rsidR="007F3CA7" w:rsidRPr="007F3CA7">
        <w:rPr>
          <w:sz w:val="24"/>
          <w:szCs w:val="24"/>
        </w:rPr>
        <w:t>8</w:t>
      </w:r>
      <w:r w:rsidRPr="007F3CA7">
        <w:rPr>
          <w:sz w:val="24"/>
          <w:szCs w:val="24"/>
        </w:rPr>
        <w:t>k</w:t>
      </w:r>
    </w:p>
    <w:p w:rsidR="00221ACA" w:rsidRPr="007F3CA7" w:rsidRDefault="007F3CA7" w:rsidP="00221ACA">
      <w:pPr>
        <w:pStyle w:val="ListParagraph"/>
        <w:numPr>
          <w:ilvl w:val="0"/>
          <w:numId w:val="28"/>
        </w:numPr>
        <w:spacing w:line="276" w:lineRule="auto"/>
        <w:jc w:val="left"/>
        <w:rPr>
          <w:sz w:val="24"/>
          <w:szCs w:val="24"/>
        </w:rPr>
      </w:pPr>
      <w:r w:rsidRPr="007F3CA7">
        <w:rPr>
          <w:sz w:val="24"/>
          <w:szCs w:val="24"/>
        </w:rPr>
        <w:t>O</w:t>
      </w:r>
      <w:r w:rsidR="00221ACA" w:rsidRPr="007F3CA7">
        <w:rPr>
          <w:sz w:val="24"/>
          <w:szCs w:val="24"/>
        </w:rPr>
        <w:t xml:space="preserve">ffset by </w:t>
      </w:r>
      <w:r w:rsidRPr="007F3CA7">
        <w:rPr>
          <w:sz w:val="24"/>
          <w:szCs w:val="24"/>
        </w:rPr>
        <w:t>Paediatric</w:t>
      </w:r>
      <w:r w:rsidR="00221ACA" w:rsidRPr="007F3CA7">
        <w:rPr>
          <w:sz w:val="24"/>
          <w:szCs w:val="24"/>
        </w:rPr>
        <w:t xml:space="preserve"> underspends</w:t>
      </w:r>
    </w:p>
    <w:p w:rsidR="00221ACA" w:rsidRPr="007F3CA7" w:rsidRDefault="00221ACA" w:rsidP="00221ACA">
      <w:pPr>
        <w:spacing w:line="276" w:lineRule="auto"/>
        <w:jc w:val="left"/>
        <w:rPr>
          <w:sz w:val="24"/>
          <w:szCs w:val="24"/>
        </w:rPr>
      </w:pPr>
    </w:p>
    <w:p w:rsidR="00221ACA" w:rsidRPr="007F3CA7" w:rsidRDefault="00221ACA" w:rsidP="00221ACA">
      <w:pPr>
        <w:spacing w:line="276" w:lineRule="auto"/>
        <w:jc w:val="left"/>
        <w:rPr>
          <w:b/>
          <w:sz w:val="24"/>
          <w:szCs w:val="24"/>
        </w:rPr>
      </w:pPr>
      <w:r w:rsidRPr="007F3CA7">
        <w:rPr>
          <w:b/>
          <w:sz w:val="24"/>
          <w:szCs w:val="24"/>
        </w:rPr>
        <w:t>Establishment Expenses:</w:t>
      </w:r>
    </w:p>
    <w:p w:rsidR="00221ACA" w:rsidRPr="007F3CA7" w:rsidRDefault="00221ACA" w:rsidP="00221ACA">
      <w:pPr>
        <w:pStyle w:val="ListParagraph"/>
        <w:numPr>
          <w:ilvl w:val="0"/>
          <w:numId w:val="28"/>
        </w:numPr>
        <w:spacing w:line="276" w:lineRule="auto"/>
        <w:jc w:val="left"/>
        <w:rPr>
          <w:sz w:val="24"/>
          <w:szCs w:val="24"/>
        </w:rPr>
      </w:pPr>
      <w:r w:rsidRPr="007F3CA7">
        <w:rPr>
          <w:sz w:val="24"/>
          <w:szCs w:val="24"/>
        </w:rPr>
        <w:t>Travel costs</w:t>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r>
      <w:r w:rsidRPr="007F3CA7">
        <w:rPr>
          <w:sz w:val="24"/>
          <w:szCs w:val="24"/>
        </w:rPr>
        <w:tab/>
        <w:t>£10k</w:t>
      </w:r>
    </w:p>
    <w:p w:rsidR="00221ACA" w:rsidRPr="00C1264B" w:rsidRDefault="00221ACA" w:rsidP="00221ACA">
      <w:pPr>
        <w:spacing w:line="276" w:lineRule="auto"/>
        <w:jc w:val="left"/>
        <w:rPr>
          <w:color w:val="FF0000"/>
          <w:sz w:val="24"/>
          <w:szCs w:val="24"/>
        </w:rPr>
      </w:pPr>
    </w:p>
    <w:p w:rsidR="00221ACA" w:rsidRPr="007F3CA7" w:rsidRDefault="00221ACA" w:rsidP="00221ACA">
      <w:pPr>
        <w:spacing w:line="276" w:lineRule="auto"/>
        <w:jc w:val="left"/>
        <w:rPr>
          <w:b/>
          <w:sz w:val="24"/>
          <w:szCs w:val="24"/>
        </w:rPr>
      </w:pPr>
      <w:r w:rsidRPr="007F3CA7">
        <w:rPr>
          <w:b/>
          <w:sz w:val="24"/>
          <w:szCs w:val="24"/>
        </w:rPr>
        <w:t>Savings Delivery – Material Variances:</w:t>
      </w:r>
    </w:p>
    <w:p w:rsidR="00221ACA" w:rsidRPr="007F3CA7" w:rsidRDefault="00221ACA" w:rsidP="00221ACA">
      <w:pPr>
        <w:pStyle w:val="ListParagraph"/>
        <w:numPr>
          <w:ilvl w:val="0"/>
          <w:numId w:val="28"/>
        </w:numPr>
        <w:spacing w:line="276" w:lineRule="auto"/>
        <w:jc w:val="left"/>
        <w:rPr>
          <w:sz w:val="24"/>
          <w:szCs w:val="24"/>
        </w:rPr>
      </w:pPr>
      <w:r w:rsidRPr="007F3CA7">
        <w:rPr>
          <w:sz w:val="24"/>
          <w:szCs w:val="24"/>
        </w:rPr>
        <w:t>Nursing/Midwife Recruitment:</w:t>
      </w:r>
      <w:r w:rsidRPr="007F3CA7">
        <w:rPr>
          <w:sz w:val="24"/>
          <w:szCs w:val="24"/>
        </w:rPr>
        <w:tab/>
      </w:r>
      <w:r w:rsidRPr="007F3CA7">
        <w:rPr>
          <w:sz w:val="24"/>
          <w:szCs w:val="24"/>
        </w:rPr>
        <w:tab/>
      </w:r>
      <w:r w:rsidRPr="007F3CA7">
        <w:rPr>
          <w:sz w:val="24"/>
          <w:szCs w:val="24"/>
        </w:rPr>
        <w:tab/>
        <w:t>£</w:t>
      </w:r>
      <w:r w:rsidR="007F3CA7" w:rsidRPr="007F3CA7">
        <w:rPr>
          <w:sz w:val="24"/>
          <w:szCs w:val="24"/>
        </w:rPr>
        <w:t>2</w:t>
      </w:r>
      <w:r w:rsidRPr="007F3CA7">
        <w:rPr>
          <w:sz w:val="24"/>
          <w:szCs w:val="24"/>
        </w:rPr>
        <w:t>6k</w:t>
      </w:r>
    </w:p>
    <w:p w:rsidR="00221ACA" w:rsidRPr="007F3CA7" w:rsidRDefault="00221ACA" w:rsidP="00221ACA">
      <w:pPr>
        <w:pStyle w:val="ListParagraph"/>
        <w:numPr>
          <w:ilvl w:val="0"/>
          <w:numId w:val="28"/>
        </w:numPr>
        <w:spacing w:line="276" w:lineRule="auto"/>
        <w:jc w:val="left"/>
        <w:rPr>
          <w:sz w:val="24"/>
          <w:szCs w:val="24"/>
        </w:rPr>
      </w:pPr>
      <w:r w:rsidRPr="007F3CA7">
        <w:rPr>
          <w:sz w:val="24"/>
          <w:szCs w:val="24"/>
        </w:rPr>
        <w:t xml:space="preserve">Agency Management – </w:t>
      </w:r>
      <w:r w:rsidR="00A65520" w:rsidRPr="007F3CA7">
        <w:rPr>
          <w:sz w:val="24"/>
          <w:szCs w:val="24"/>
        </w:rPr>
        <w:t>med staffing</w:t>
      </w:r>
      <w:r w:rsidRPr="007F3CA7">
        <w:rPr>
          <w:sz w:val="24"/>
          <w:szCs w:val="24"/>
        </w:rPr>
        <w:t>:</w:t>
      </w:r>
      <w:r w:rsidRPr="007F3CA7">
        <w:rPr>
          <w:sz w:val="24"/>
          <w:szCs w:val="24"/>
        </w:rPr>
        <w:tab/>
      </w:r>
      <w:r w:rsidRPr="007F3CA7">
        <w:rPr>
          <w:sz w:val="24"/>
          <w:szCs w:val="24"/>
        </w:rPr>
        <w:tab/>
        <w:t>£3</w:t>
      </w:r>
      <w:r w:rsidR="007F3CA7" w:rsidRPr="007F3CA7">
        <w:rPr>
          <w:sz w:val="24"/>
          <w:szCs w:val="24"/>
        </w:rPr>
        <w:t>1</w:t>
      </w:r>
      <w:r w:rsidRPr="007F3CA7">
        <w:rPr>
          <w:sz w:val="24"/>
          <w:szCs w:val="24"/>
        </w:rPr>
        <w:t>k</w:t>
      </w:r>
    </w:p>
    <w:p w:rsidR="00DF43F3" w:rsidRPr="00C1264B" w:rsidRDefault="00DF43F3" w:rsidP="001851AD">
      <w:pPr>
        <w:spacing w:line="276" w:lineRule="auto"/>
        <w:jc w:val="left"/>
        <w:rPr>
          <w:color w:val="FF0000"/>
          <w:sz w:val="24"/>
          <w:szCs w:val="24"/>
        </w:rPr>
      </w:pPr>
    </w:p>
    <w:p w:rsidR="00DF43F3" w:rsidRDefault="00DF43F3" w:rsidP="001851AD">
      <w:pPr>
        <w:spacing w:line="276" w:lineRule="auto"/>
        <w:jc w:val="left"/>
        <w:rPr>
          <w:sz w:val="24"/>
          <w:szCs w:val="24"/>
        </w:rPr>
      </w:pPr>
    </w:p>
    <w:p w:rsidR="00DF43F3" w:rsidRDefault="00DF43F3" w:rsidP="001851AD">
      <w:pPr>
        <w:spacing w:line="276" w:lineRule="auto"/>
        <w:jc w:val="left"/>
        <w:rPr>
          <w:sz w:val="24"/>
          <w:szCs w:val="24"/>
        </w:rPr>
      </w:pPr>
    </w:p>
    <w:p w:rsidR="00DF43F3" w:rsidRDefault="00DF43F3">
      <w:pPr>
        <w:spacing w:after="200" w:line="276" w:lineRule="auto"/>
        <w:jc w:val="left"/>
        <w:rPr>
          <w:sz w:val="24"/>
          <w:szCs w:val="24"/>
        </w:rPr>
      </w:pPr>
    </w:p>
    <w:p w:rsidR="00DF43F3" w:rsidRDefault="00DF43F3">
      <w:pPr>
        <w:spacing w:after="200" w:line="276" w:lineRule="auto"/>
        <w:jc w:val="left"/>
        <w:rPr>
          <w:sz w:val="24"/>
          <w:szCs w:val="24"/>
        </w:rPr>
      </w:pPr>
      <w:r>
        <w:rPr>
          <w:sz w:val="24"/>
          <w:szCs w:val="24"/>
        </w:rPr>
        <w:br w:type="page"/>
      </w:r>
    </w:p>
    <w:p w:rsidR="00DF43F3" w:rsidRPr="00F25D3D" w:rsidRDefault="00DF43F3">
      <w:pPr>
        <w:spacing w:after="200" w:line="276" w:lineRule="auto"/>
        <w:jc w:val="left"/>
        <w:rPr>
          <w:b/>
          <w:sz w:val="24"/>
          <w:szCs w:val="24"/>
        </w:rPr>
      </w:pPr>
      <w:r w:rsidRPr="00F25D3D">
        <w:rPr>
          <w:b/>
          <w:sz w:val="24"/>
          <w:szCs w:val="24"/>
        </w:rPr>
        <w:lastRenderedPageBreak/>
        <w:t>Operations Directorate – Clinical Support Services</w:t>
      </w:r>
      <w:r w:rsidR="00C1264B">
        <w:rPr>
          <w:b/>
          <w:sz w:val="24"/>
          <w:szCs w:val="24"/>
        </w:rPr>
        <w:t xml:space="preserve"> including Pathlinks</w:t>
      </w:r>
      <w:r w:rsidRPr="00F25D3D">
        <w:rPr>
          <w:b/>
          <w:sz w:val="24"/>
          <w:szCs w:val="24"/>
        </w:rPr>
        <w:t>:</w:t>
      </w:r>
    </w:p>
    <w:p w:rsidR="00DF43F3" w:rsidRDefault="00DF43F3">
      <w:pPr>
        <w:spacing w:after="200" w:line="276" w:lineRule="auto"/>
        <w:jc w:val="left"/>
        <w:rPr>
          <w:sz w:val="24"/>
          <w:szCs w:val="24"/>
        </w:rPr>
      </w:pPr>
      <w:r>
        <w:rPr>
          <w:sz w:val="24"/>
          <w:szCs w:val="24"/>
        </w:rPr>
        <w:t xml:space="preserve">The </w:t>
      </w:r>
      <w:r w:rsidR="00864BBA">
        <w:rPr>
          <w:sz w:val="24"/>
          <w:szCs w:val="24"/>
        </w:rPr>
        <w:t>Directorate is £194</w:t>
      </w:r>
      <w:r w:rsidR="00835ACF">
        <w:rPr>
          <w:sz w:val="24"/>
          <w:szCs w:val="24"/>
        </w:rPr>
        <w:t>k overspent (</w:t>
      </w:r>
      <w:r w:rsidR="00864BBA">
        <w:rPr>
          <w:sz w:val="24"/>
          <w:szCs w:val="24"/>
        </w:rPr>
        <w:t>1.1</w:t>
      </w:r>
      <w:r>
        <w:rPr>
          <w:sz w:val="24"/>
          <w:szCs w:val="24"/>
        </w:rPr>
        <w:t>%</w:t>
      </w:r>
      <w:r w:rsidR="00835ACF">
        <w:rPr>
          <w:sz w:val="24"/>
          <w:szCs w:val="24"/>
        </w:rPr>
        <w:t>), with the following expenditure breakdown:</w:t>
      </w:r>
    </w:p>
    <w:tbl>
      <w:tblPr>
        <w:tblW w:w="10363" w:type="dxa"/>
        <w:tblInd w:w="93" w:type="dxa"/>
        <w:tblLook w:val="04A0" w:firstRow="1" w:lastRow="0" w:firstColumn="1" w:lastColumn="0" w:noHBand="0" w:noVBand="1"/>
      </w:tblPr>
      <w:tblGrid>
        <w:gridCol w:w="4420"/>
        <w:gridCol w:w="2116"/>
        <w:gridCol w:w="1984"/>
        <w:gridCol w:w="1843"/>
      </w:tblGrid>
      <w:tr w:rsidR="00DF43F3" w:rsidRPr="00DF43F3" w:rsidTr="00F25D3D">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DF43F3" w:rsidRPr="00DF43F3" w:rsidRDefault="00F25D3D" w:rsidP="00F25D3D">
            <w:pPr>
              <w:rPr>
                <w:rFonts w:ascii="Calibri" w:eastAsia="Times New Roman" w:hAnsi="Calibri" w:cs="Times New Roman"/>
                <w:b/>
                <w:color w:val="000000"/>
                <w:lang w:eastAsia="en-GB"/>
              </w:rPr>
            </w:pPr>
            <w:r>
              <w:rPr>
                <w:rFonts w:ascii="Calibri" w:eastAsia="Times New Roman" w:hAnsi="Calibri" w:cs="Times New Roman"/>
                <w:b/>
                <w:color w:val="000000"/>
                <w:lang w:eastAsia="en-GB"/>
              </w:rPr>
              <w:t>Expenditure Category</w:t>
            </w:r>
          </w:p>
        </w:tc>
        <w:tc>
          <w:tcPr>
            <w:tcW w:w="2116" w:type="dxa"/>
            <w:tcBorders>
              <w:top w:val="single" w:sz="4" w:space="0" w:color="000000"/>
              <w:left w:val="single" w:sz="4" w:space="0" w:color="000000"/>
              <w:bottom w:val="nil"/>
              <w:right w:val="nil"/>
            </w:tcBorders>
            <w:shd w:val="clear" w:color="auto" w:fill="auto"/>
            <w:noWrap/>
            <w:vAlign w:val="bottom"/>
            <w:hideMark/>
          </w:tcPr>
          <w:p w:rsidR="00DF43F3" w:rsidRPr="00DF43F3"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YTD</w:t>
            </w:r>
            <w:r w:rsidR="00DF43F3" w:rsidRPr="00DF43F3">
              <w:rPr>
                <w:rFonts w:ascii="Calibri" w:eastAsia="Times New Roman" w:hAnsi="Calibri" w:cs="Times New Roman"/>
                <w:b/>
                <w:color w:val="000000"/>
                <w:lang w:eastAsia="en-GB"/>
              </w:rPr>
              <w:t xml:space="preserve"> Budget £000s</w:t>
            </w:r>
          </w:p>
        </w:tc>
        <w:tc>
          <w:tcPr>
            <w:tcW w:w="1984" w:type="dxa"/>
            <w:tcBorders>
              <w:top w:val="single" w:sz="4" w:space="0" w:color="000000"/>
              <w:left w:val="nil"/>
              <w:bottom w:val="nil"/>
              <w:right w:val="nil"/>
            </w:tcBorders>
            <w:shd w:val="clear" w:color="auto" w:fill="auto"/>
            <w:noWrap/>
            <w:vAlign w:val="bottom"/>
            <w:hideMark/>
          </w:tcPr>
          <w:p w:rsidR="00DF43F3" w:rsidRPr="00DF43F3"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YTD</w:t>
            </w:r>
            <w:r w:rsidR="00DF43F3" w:rsidRPr="00DF43F3">
              <w:rPr>
                <w:rFonts w:ascii="Calibri" w:eastAsia="Times New Roman" w:hAnsi="Calibri" w:cs="Times New Roman"/>
                <w:b/>
                <w:color w:val="000000"/>
                <w:lang w:eastAsia="en-GB"/>
              </w:rPr>
              <w:t xml:space="preserve"> Actual £000s</w:t>
            </w:r>
          </w:p>
        </w:tc>
        <w:tc>
          <w:tcPr>
            <w:tcW w:w="1843" w:type="dxa"/>
            <w:tcBorders>
              <w:top w:val="single" w:sz="4" w:space="0" w:color="000000"/>
              <w:left w:val="nil"/>
              <w:bottom w:val="nil"/>
              <w:right w:val="single" w:sz="4" w:space="0" w:color="000000"/>
            </w:tcBorders>
            <w:shd w:val="clear" w:color="auto" w:fill="auto"/>
            <w:noWrap/>
            <w:vAlign w:val="bottom"/>
            <w:hideMark/>
          </w:tcPr>
          <w:p w:rsidR="00DF43F3" w:rsidRPr="00DF43F3"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Variance £000s</w:t>
            </w:r>
          </w:p>
        </w:tc>
      </w:tr>
      <w:tr w:rsidR="00412393" w:rsidRPr="00DF43F3" w:rsidTr="00F25D3D">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Medical Staff</w:t>
            </w:r>
          </w:p>
        </w:tc>
        <w:tc>
          <w:tcPr>
            <w:tcW w:w="2116" w:type="dxa"/>
            <w:tcBorders>
              <w:top w:val="single" w:sz="4" w:space="0" w:color="000000"/>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2,122.6</w:t>
            </w:r>
          </w:p>
        </w:tc>
        <w:tc>
          <w:tcPr>
            <w:tcW w:w="1984" w:type="dxa"/>
            <w:tcBorders>
              <w:top w:val="single" w:sz="4" w:space="0" w:color="000000"/>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2,243.0</w:t>
            </w:r>
          </w:p>
        </w:tc>
        <w:tc>
          <w:tcPr>
            <w:tcW w:w="1843" w:type="dxa"/>
            <w:tcBorders>
              <w:top w:val="single" w:sz="4" w:space="0" w:color="000000"/>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120.4</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Non Patient Care Contracts &amp; Agreements</w:t>
            </w:r>
          </w:p>
        </w:tc>
        <w:tc>
          <w:tcPr>
            <w:tcW w:w="2116"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4,264.4</w:t>
            </w:r>
            <w:r w:rsidRPr="00910118">
              <w:rPr>
                <w:rFonts w:ascii="Calibri" w:hAnsi="Calibri"/>
                <w:color w:val="FF0000"/>
              </w:rPr>
              <w:t>)</w:t>
            </w:r>
          </w:p>
        </w:tc>
        <w:tc>
          <w:tcPr>
            <w:tcW w:w="1984"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4,183.7</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80.7</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Purchase of Healthcare Services</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2,100.8</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2,177.0</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76.3</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Clinical Supplies &amp; Services</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4,382.5</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4,434.2</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51.6</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Establishment Expenses</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214.0</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244.2</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30.2</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Nursing Staff</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1,627.4</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1,650.6</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23.3</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Other Income</w:t>
            </w:r>
          </w:p>
        </w:tc>
        <w:tc>
          <w:tcPr>
            <w:tcW w:w="2116"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39.5</w:t>
            </w:r>
            <w:r w:rsidRPr="00910118">
              <w:rPr>
                <w:rFonts w:ascii="Calibri" w:hAnsi="Calibri"/>
                <w:color w:val="FF0000"/>
              </w:rPr>
              <w:t>)</w:t>
            </w:r>
          </w:p>
        </w:tc>
        <w:tc>
          <w:tcPr>
            <w:tcW w:w="1984"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29.6</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9.9</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General Supplies &amp; Services</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162.1</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167.4</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5.2</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Chargeable Patients Income</w:t>
            </w:r>
          </w:p>
        </w:tc>
        <w:tc>
          <w:tcPr>
            <w:tcW w:w="2116"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159.2</w:t>
            </w:r>
            <w:r w:rsidRPr="00910118">
              <w:rPr>
                <w:rFonts w:ascii="Calibri" w:hAnsi="Calibri"/>
                <w:color w:val="FF0000"/>
              </w:rPr>
              <w:t>)</w:t>
            </w:r>
          </w:p>
        </w:tc>
        <w:tc>
          <w:tcPr>
            <w:tcW w:w="1984"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154.8</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4.4</w:t>
            </w:r>
            <w:r>
              <w:rPr>
                <w:rFonts w:ascii="Calibri" w:hAnsi="Calibri"/>
                <w:color w:val="FF0000"/>
              </w:rPr>
              <w:t>)</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Education Income</w:t>
            </w:r>
          </w:p>
        </w:tc>
        <w:tc>
          <w:tcPr>
            <w:tcW w:w="2116"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3.4</w:t>
            </w:r>
            <w:r w:rsidRPr="00910118">
              <w:rPr>
                <w:rFonts w:ascii="Calibri" w:hAnsi="Calibri"/>
                <w:color w:val="FF0000"/>
              </w:rPr>
              <w:t>)</w:t>
            </w:r>
          </w:p>
        </w:tc>
        <w:tc>
          <w:tcPr>
            <w:tcW w:w="1984"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0.0</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sidRPr="00412393">
              <w:rPr>
                <w:rFonts w:ascii="Calibri" w:hAnsi="Calibri"/>
                <w:color w:val="FF0000"/>
              </w:rPr>
              <w:t>(3.4)</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R&amp;D Income</w:t>
            </w:r>
          </w:p>
        </w:tc>
        <w:tc>
          <w:tcPr>
            <w:tcW w:w="2116"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28.0</w:t>
            </w:r>
            <w:r w:rsidRPr="00910118">
              <w:rPr>
                <w:rFonts w:ascii="Calibri" w:hAnsi="Calibri"/>
                <w:color w:val="FF0000"/>
              </w:rPr>
              <w:t>)</w:t>
            </w:r>
          </w:p>
        </w:tc>
        <w:tc>
          <w:tcPr>
            <w:tcW w:w="1984"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28.0</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0.0</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Miscellaneous Expenditure</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36.9</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36.7</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0.2</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Support Staff</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6.4</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6.1</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0.3</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Services From Other NHS Bodies</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283.1</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277.5</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5.6</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Education Expenditure</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21.9</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14.0</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8.0</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Admin &amp; Clerical Staff</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2,196.7</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2,181.1</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15.5</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tcPr>
          <w:p w:rsidR="00412393" w:rsidRDefault="00412393">
            <w:pPr>
              <w:rPr>
                <w:rFonts w:ascii="Calibri" w:hAnsi="Calibri"/>
                <w:color w:val="000000"/>
              </w:rPr>
            </w:pPr>
            <w:r>
              <w:rPr>
                <w:rFonts w:ascii="Calibri" w:hAnsi="Calibri"/>
                <w:color w:val="000000"/>
              </w:rPr>
              <w:t>Drugs</w:t>
            </w:r>
          </w:p>
        </w:tc>
        <w:tc>
          <w:tcPr>
            <w:tcW w:w="2116" w:type="dxa"/>
            <w:tcBorders>
              <w:top w:val="nil"/>
              <w:left w:val="single" w:sz="4" w:space="0" w:color="000000"/>
              <w:bottom w:val="nil"/>
              <w:right w:val="nil"/>
            </w:tcBorders>
            <w:shd w:val="clear" w:color="auto" w:fill="auto"/>
            <w:noWrap/>
            <w:vAlign w:val="bottom"/>
          </w:tcPr>
          <w:p w:rsidR="00412393" w:rsidRDefault="00412393">
            <w:pPr>
              <w:jc w:val="right"/>
              <w:rPr>
                <w:rFonts w:ascii="Calibri" w:hAnsi="Calibri"/>
                <w:color w:val="000000"/>
              </w:rPr>
            </w:pPr>
            <w:r>
              <w:rPr>
                <w:rFonts w:ascii="Calibri" w:hAnsi="Calibri"/>
                <w:color w:val="000000"/>
              </w:rPr>
              <w:t>460.2</w:t>
            </w:r>
          </w:p>
        </w:tc>
        <w:tc>
          <w:tcPr>
            <w:tcW w:w="1984" w:type="dxa"/>
            <w:tcBorders>
              <w:top w:val="nil"/>
              <w:left w:val="nil"/>
              <w:bottom w:val="nil"/>
              <w:right w:val="nil"/>
            </w:tcBorders>
            <w:shd w:val="clear" w:color="auto" w:fill="auto"/>
            <w:noWrap/>
            <w:vAlign w:val="bottom"/>
          </w:tcPr>
          <w:p w:rsidR="00412393" w:rsidRDefault="00412393">
            <w:pPr>
              <w:jc w:val="right"/>
              <w:rPr>
                <w:rFonts w:ascii="Calibri" w:hAnsi="Calibri"/>
                <w:color w:val="000000"/>
              </w:rPr>
            </w:pPr>
            <w:r>
              <w:rPr>
                <w:rFonts w:ascii="Calibri" w:hAnsi="Calibri"/>
                <w:color w:val="000000"/>
              </w:rPr>
              <w:t>429.3</w:t>
            </w:r>
          </w:p>
        </w:tc>
        <w:tc>
          <w:tcPr>
            <w:tcW w:w="1843" w:type="dxa"/>
            <w:tcBorders>
              <w:top w:val="nil"/>
              <w:left w:val="nil"/>
              <w:bottom w:val="nil"/>
              <w:right w:val="single" w:sz="4" w:space="0" w:color="000000"/>
            </w:tcBorders>
            <w:shd w:val="clear" w:color="auto" w:fill="auto"/>
            <w:noWrap/>
            <w:vAlign w:val="bottom"/>
          </w:tcPr>
          <w:p w:rsidR="00412393" w:rsidRDefault="00412393">
            <w:pPr>
              <w:jc w:val="right"/>
              <w:rPr>
                <w:rFonts w:ascii="Calibri" w:hAnsi="Calibri"/>
                <w:color w:val="000000"/>
              </w:rPr>
            </w:pPr>
            <w:r>
              <w:rPr>
                <w:rFonts w:ascii="Calibri" w:hAnsi="Calibri"/>
                <w:color w:val="000000"/>
              </w:rPr>
              <w:t>31.0</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tcPr>
          <w:p w:rsidR="00412393" w:rsidRDefault="00412393">
            <w:pPr>
              <w:rPr>
                <w:rFonts w:ascii="Calibri" w:hAnsi="Calibri"/>
                <w:color w:val="000000"/>
              </w:rPr>
            </w:pPr>
            <w:r>
              <w:rPr>
                <w:rFonts w:ascii="Calibri" w:hAnsi="Calibri"/>
                <w:color w:val="000000"/>
              </w:rPr>
              <w:t>Premises and Fixed Plant</w:t>
            </w:r>
          </w:p>
        </w:tc>
        <w:tc>
          <w:tcPr>
            <w:tcW w:w="2116" w:type="dxa"/>
            <w:tcBorders>
              <w:top w:val="nil"/>
              <w:left w:val="single" w:sz="4" w:space="0" w:color="000000"/>
              <w:bottom w:val="nil"/>
              <w:right w:val="nil"/>
            </w:tcBorders>
            <w:shd w:val="clear" w:color="auto" w:fill="auto"/>
            <w:noWrap/>
            <w:vAlign w:val="bottom"/>
          </w:tcPr>
          <w:p w:rsidR="00412393" w:rsidRDefault="00412393">
            <w:pPr>
              <w:jc w:val="right"/>
              <w:rPr>
                <w:rFonts w:ascii="Calibri" w:hAnsi="Calibri"/>
                <w:color w:val="000000"/>
              </w:rPr>
            </w:pPr>
            <w:r>
              <w:rPr>
                <w:rFonts w:ascii="Calibri" w:hAnsi="Calibri"/>
                <w:color w:val="000000"/>
              </w:rPr>
              <w:t>282.8</w:t>
            </w:r>
          </w:p>
        </w:tc>
        <w:tc>
          <w:tcPr>
            <w:tcW w:w="1984" w:type="dxa"/>
            <w:tcBorders>
              <w:top w:val="nil"/>
              <w:left w:val="nil"/>
              <w:bottom w:val="nil"/>
              <w:right w:val="nil"/>
            </w:tcBorders>
            <w:shd w:val="clear" w:color="auto" w:fill="auto"/>
            <w:noWrap/>
            <w:vAlign w:val="bottom"/>
          </w:tcPr>
          <w:p w:rsidR="00412393" w:rsidRDefault="00412393">
            <w:pPr>
              <w:jc w:val="right"/>
              <w:rPr>
                <w:rFonts w:ascii="Calibri" w:hAnsi="Calibri"/>
                <w:color w:val="000000"/>
              </w:rPr>
            </w:pPr>
            <w:r>
              <w:rPr>
                <w:rFonts w:ascii="Calibri" w:hAnsi="Calibri"/>
                <w:color w:val="000000"/>
              </w:rPr>
              <w:t>246.0</w:t>
            </w:r>
          </w:p>
        </w:tc>
        <w:tc>
          <w:tcPr>
            <w:tcW w:w="1843" w:type="dxa"/>
            <w:tcBorders>
              <w:top w:val="nil"/>
              <w:left w:val="nil"/>
              <w:bottom w:val="nil"/>
              <w:right w:val="single" w:sz="4" w:space="0" w:color="000000"/>
            </w:tcBorders>
            <w:shd w:val="clear" w:color="auto" w:fill="auto"/>
            <w:noWrap/>
            <w:vAlign w:val="bottom"/>
          </w:tcPr>
          <w:p w:rsidR="00412393" w:rsidRDefault="00412393">
            <w:pPr>
              <w:jc w:val="right"/>
              <w:rPr>
                <w:rFonts w:ascii="Calibri" w:hAnsi="Calibri"/>
                <w:color w:val="000000"/>
              </w:rPr>
            </w:pPr>
            <w:r>
              <w:rPr>
                <w:rFonts w:ascii="Calibri" w:hAnsi="Calibri"/>
                <w:color w:val="000000"/>
              </w:rPr>
              <w:t>36.8</w:t>
            </w:r>
          </w:p>
        </w:tc>
      </w:tr>
      <w:tr w:rsidR="00412393" w:rsidRPr="00DF43F3"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Scientific, Therapeutic &amp; Technical Staff</w:t>
            </w:r>
          </w:p>
        </w:tc>
        <w:tc>
          <w:tcPr>
            <w:tcW w:w="2116"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7,854.6</w:t>
            </w:r>
          </w:p>
        </w:tc>
        <w:tc>
          <w:tcPr>
            <w:tcW w:w="1984"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7,740.3</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114.2</w:t>
            </w:r>
          </w:p>
        </w:tc>
      </w:tr>
      <w:tr w:rsidR="00412393" w:rsidRPr="00DF43F3" w:rsidTr="00F25D3D">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864BBA" w:rsidRDefault="00412393">
            <w:pPr>
              <w:rPr>
                <w:rFonts w:ascii="Calibri" w:hAnsi="Calibri"/>
                <w:b/>
                <w:color w:val="000000"/>
              </w:rPr>
            </w:pPr>
            <w:r w:rsidRPr="00864BBA">
              <w:rPr>
                <w:rFonts w:ascii="Calibri" w:hAnsi="Calibri"/>
                <w:b/>
                <w:color w:val="000000"/>
              </w:rPr>
              <w:t>Total</w:t>
            </w:r>
          </w:p>
        </w:tc>
        <w:tc>
          <w:tcPr>
            <w:tcW w:w="2116"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17,257.4</w:t>
            </w:r>
          </w:p>
        </w:tc>
        <w:tc>
          <w:tcPr>
            <w:tcW w:w="1984" w:type="dxa"/>
            <w:tcBorders>
              <w:top w:val="single" w:sz="4" w:space="0" w:color="000000"/>
              <w:left w:val="nil"/>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17,451.4</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FF0000"/>
              </w:rPr>
              <w:t>(194.0)</w:t>
            </w:r>
          </w:p>
        </w:tc>
      </w:tr>
    </w:tbl>
    <w:p w:rsidR="00835ACF" w:rsidRDefault="00835ACF" w:rsidP="00835ACF">
      <w:pPr>
        <w:spacing w:line="276" w:lineRule="auto"/>
        <w:jc w:val="left"/>
        <w:rPr>
          <w:sz w:val="24"/>
          <w:szCs w:val="24"/>
        </w:rPr>
      </w:pPr>
    </w:p>
    <w:p w:rsidR="00835ACF" w:rsidRPr="00DE32F2" w:rsidRDefault="00835ACF" w:rsidP="00835ACF">
      <w:pPr>
        <w:spacing w:line="276" w:lineRule="auto"/>
        <w:jc w:val="left"/>
        <w:rPr>
          <w:b/>
          <w:sz w:val="24"/>
          <w:szCs w:val="24"/>
        </w:rPr>
      </w:pPr>
      <w:r w:rsidRPr="00DE32F2">
        <w:rPr>
          <w:b/>
          <w:sz w:val="24"/>
          <w:szCs w:val="24"/>
        </w:rPr>
        <w:t>Medical Staffing:</w:t>
      </w:r>
    </w:p>
    <w:p w:rsidR="00835ACF" w:rsidRDefault="00835ACF" w:rsidP="00835ACF">
      <w:pPr>
        <w:pStyle w:val="ListParagraph"/>
        <w:numPr>
          <w:ilvl w:val="0"/>
          <w:numId w:val="28"/>
        </w:numPr>
        <w:spacing w:line="276" w:lineRule="auto"/>
        <w:jc w:val="left"/>
        <w:rPr>
          <w:sz w:val="24"/>
          <w:szCs w:val="24"/>
        </w:rPr>
      </w:pPr>
      <w:r w:rsidRPr="00DE32F2">
        <w:rPr>
          <w:sz w:val="24"/>
          <w:szCs w:val="24"/>
        </w:rPr>
        <w:t>Imaging vacancy cover:</w:t>
      </w:r>
      <w:r w:rsidRPr="00DE32F2">
        <w:rPr>
          <w:sz w:val="24"/>
          <w:szCs w:val="24"/>
        </w:rPr>
        <w:tab/>
      </w:r>
      <w:r w:rsidRPr="00DE32F2">
        <w:rPr>
          <w:sz w:val="24"/>
          <w:szCs w:val="24"/>
        </w:rPr>
        <w:tab/>
      </w:r>
      <w:r w:rsidRPr="00DE32F2">
        <w:rPr>
          <w:sz w:val="24"/>
          <w:szCs w:val="24"/>
        </w:rPr>
        <w:tab/>
      </w:r>
      <w:r w:rsidRPr="00DE32F2">
        <w:rPr>
          <w:sz w:val="24"/>
          <w:szCs w:val="24"/>
        </w:rPr>
        <w:tab/>
        <w:t>£137k;</w:t>
      </w:r>
    </w:p>
    <w:p w:rsidR="00DE32F2" w:rsidRPr="00DE32F2" w:rsidRDefault="00DE32F2" w:rsidP="00DE32F2">
      <w:pPr>
        <w:spacing w:line="276" w:lineRule="auto"/>
        <w:jc w:val="left"/>
        <w:rPr>
          <w:b/>
          <w:sz w:val="24"/>
          <w:szCs w:val="24"/>
        </w:rPr>
      </w:pPr>
      <w:r>
        <w:rPr>
          <w:b/>
          <w:sz w:val="24"/>
          <w:szCs w:val="24"/>
        </w:rPr>
        <w:t>Income</w:t>
      </w:r>
      <w:r w:rsidRPr="00DE32F2">
        <w:rPr>
          <w:b/>
          <w:sz w:val="24"/>
          <w:szCs w:val="24"/>
        </w:rPr>
        <w:t>:</w:t>
      </w:r>
    </w:p>
    <w:p w:rsidR="00DE32F2" w:rsidRDefault="00DE32F2" w:rsidP="00DE32F2">
      <w:pPr>
        <w:pStyle w:val="ListParagraph"/>
        <w:numPr>
          <w:ilvl w:val="0"/>
          <w:numId w:val="28"/>
        </w:numPr>
        <w:spacing w:line="276" w:lineRule="auto"/>
        <w:jc w:val="left"/>
        <w:rPr>
          <w:sz w:val="24"/>
          <w:szCs w:val="24"/>
        </w:rPr>
      </w:pPr>
      <w:r>
        <w:rPr>
          <w:sz w:val="24"/>
          <w:szCs w:val="24"/>
        </w:rPr>
        <w:t>Pathology Activity Backlog</w:t>
      </w:r>
      <w:r w:rsidRPr="00DE32F2">
        <w:rPr>
          <w:sz w:val="24"/>
          <w:szCs w:val="24"/>
        </w:rPr>
        <w:t>:</w:t>
      </w:r>
      <w:r w:rsidRPr="00DE32F2">
        <w:rPr>
          <w:sz w:val="24"/>
          <w:szCs w:val="24"/>
        </w:rPr>
        <w:tab/>
      </w:r>
      <w:r w:rsidRPr="00DE32F2">
        <w:rPr>
          <w:sz w:val="24"/>
          <w:szCs w:val="24"/>
        </w:rPr>
        <w:tab/>
      </w:r>
      <w:r w:rsidRPr="00DE32F2">
        <w:rPr>
          <w:sz w:val="24"/>
          <w:szCs w:val="24"/>
        </w:rPr>
        <w:tab/>
        <w:t>£1</w:t>
      </w:r>
      <w:r>
        <w:rPr>
          <w:sz w:val="24"/>
          <w:szCs w:val="24"/>
        </w:rPr>
        <w:t>01</w:t>
      </w:r>
      <w:r w:rsidRPr="00DE32F2">
        <w:rPr>
          <w:sz w:val="24"/>
          <w:szCs w:val="24"/>
        </w:rPr>
        <w:t>k;</w:t>
      </w:r>
    </w:p>
    <w:p w:rsidR="00835ACF" w:rsidRPr="00DE32F2" w:rsidRDefault="00835ACF" w:rsidP="00835ACF">
      <w:pPr>
        <w:spacing w:line="276" w:lineRule="auto"/>
        <w:jc w:val="left"/>
        <w:rPr>
          <w:sz w:val="24"/>
          <w:szCs w:val="24"/>
        </w:rPr>
      </w:pPr>
    </w:p>
    <w:p w:rsidR="008B1DDE" w:rsidRPr="00DE32F2" w:rsidRDefault="008B1DDE" w:rsidP="00835ACF">
      <w:pPr>
        <w:spacing w:line="276" w:lineRule="auto"/>
        <w:jc w:val="left"/>
        <w:rPr>
          <w:b/>
          <w:sz w:val="24"/>
          <w:szCs w:val="24"/>
        </w:rPr>
      </w:pPr>
      <w:r w:rsidRPr="00DE32F2">
        <w:rPr>
          <w:b/>
          <w:sz w:val="24"/>
          <w:szCs w:val="24"/>
        </w:rPr>
        <w:t>Purchase of Healthcare Services:</w:t>
      </w:r>
    </w:p>
    <w:p w:rsidR="008B1DDE" w:rsidRPr="00DE32F2" w:rsidRDefault="008B1DDE" w:rsidP="008B1DDE">
      <w:pPr>
        <w:pStyle w:val="ListParagraph"/>
        <w:numPr>
          <w:ilvl w:val="0"/>
          <w:numId w:val="28"/>
        </w:numPr>
        <w:spacing w:line="276" w:lineRule="auto"/>
        <w:jc w:val="left"/>
        <w:rPr>
          <w:sz w:val="24"/>
          <w:szCs w:val="24"/>
        </w:rPr>
      </w:pPr>
      <w:r w:rsidRPr="00DE32F2">
        <w:rPr>
          <w:sz w:val="24"/>
          <w:szCs w:val="24"/>
        </w:rPr>
        <w:t>Imaging capacity:</w:t>
      </w:r>
      <w:r w:rsidRPr="00DE32F2">
        <w:rPr>
          <w:sz w:val="24"/>
          <w:szCs w:val="24"/>
        </w:rPr>
        <w:tab/>
      </w:r>
      <w:r w:rsidRPr="00DE32F2">
        <w:rPr>
          <w:sz w:val="24"/>
          <w:szCs w:val="24"/>
        </w:rPr>
        <w:tab/>
      </w:r>
      <w:r w:rsidRPr="00DE32F2">
        <w:rPr>
          <w:sz w:val="24"/>
          <w:szCs w:val="24"/>
        </w:rPr>
        <w:tab/>
      </w:r>
      <w:r w:rsidRPr="00DE32F2">
        <w:rPr>
          <w:sz w:val="24"/>
          <w:szCs w:val="24"/>
        </w:rPr>
        <w:tab/>
      </w:r>
      <w:r w:rsidRPr="00DE32F2">
        <w:rPr>
          <w:sz w:val="24"/>
          <w:szCs w:val="24"/>
        </w:rPr>
        <w:tab/>
        <w:t>£</w:t>
      </w:r>
      <w:r w:rsidR="00DE32F2" w:rsidRPr="00DE32F2">
        <w:rPr>
          <w:sz w:val="24"/>
          <w:szCs w:val="24"/>
        </w:rPr>
        <w:t>47</w:t>
      </w:r>
      <w:r w:rsidRPr="00DE32F2">
        <w:rPr>
          <w:sz w:val="24"/>
          <w:szCs w:val="24"/>
        </w:rPr>
        <w:t>k</w:t>
      </w:r>
    </w:p>
    <w:p w:rsidR="008B1DDE" w:rsidRDefault="00DE32F2" w:rsidP="008B1DDE">
      <w:pPr>
        <w:pStyle w:val="ListParagraph"/>
        <w:numPr>
          <w:ilvl w:val="0"/>
          <w:numId w:val="28"/>
        </w:numPr>
        <w:spacing w:line="276" w:lineRule="auto"/>
        <w:jc w:val="left"/>
        <w:rPr>
          <w:sz w:val="24"/>
          <w:szCs w:val="24"/>
        </w:rPr>
      </w:pPr>
      <w:r w:rsidRPr="00DE32F2">
        <w:rPr>
          <w:sz w:val="24"/>
          <w:szCs w:val="24"/>
        </w:rPr>
        <w:t xml:space="preserve">Pathology </w:t>
      </w:r>
      <w:r>
        <w:rPr>
          <w:sz w:val="24"/>
          <w:szCs w:val="24"/>
        </w:rPr>
        <w:t xml:space="preserve">External </w:t>
      </w:r>
      <w:r w:rsidR="00A65520" w:rsidRPr="00DE32F2">
        <w:rPr>
          <w:sz w:val="24"/>
          <w:szCs w:val="24"/>
        </w:rPr>
        <w:t>Referrals</w:t>
      </w:r>
      <w:r w:rsidR="008B1DDE" w:rsidRPr="00DE32F2">
        <w:rPr>
          <w:sz w:val="24"/>
          <w:szCs w:val="24"/>
        </w:rPr>
        <w:t>:</w:t>
      </w:r>
      <w:r w:rsidR="008B1DDE" w:rsidRPr="00DE32F2">
        <w:rPr>
          <w:sz w:val="24"/>
          <w:szCs w:val="24"/>
        </w:rPr>
        <w:tab/>
      </w:r>
      <w:r w:rsidR="008B1DDE" w:rsidRPr="00DE32F2">
        <w:rPr>
          <w:sz w:val="24"/>
          <w:szCs w:val="24"/>
        </w:rPr>
        <w:tab/>
      </w:r>
      <w:r w:rsidR="008B1DDE" w:rsidRPr="00DE32F2">
        <w:rPr>
          <w:sz w:val="24"/>
          <w:szCs w:val="24"/>
        </w:rPr>
        <w:tab/>
        <w:t>£</w:t>
      </w:r>
      <w:r w:rsidRPr="00DE32F2">
        <w:rPr>
          <w:sz w:val="24"/>
          <w:szCs w:val="24"/>
        </w:rPr>
        <w:t>32</w:t>
      </w:r>
      <w:r w:rsidR="008B1DDE" w:rsidRPr="00DE32F2">
        <w:rPr>
          <w:sz w:val="24"/>
          <w:szCs w:val="24"/>
        </w:rPr>
        <w:t>k</w:t>
      </w:r>
    </w:p>
    <w:p w:rsidR="00DE32F2" w:rsidRDefault="00DE32F2" w:rsidP="00DE32F2">
      <w:pPr>
        <w:spacing w:line="276" w:lineRule="auto"/>
        <w:jc w:val="left"/>
        <w:rPr>
          <w:sz w:val="24"/>
          <w:szCs w:val="24"/>
        </w:rPr>
      </w:pPr>
    </w:p>
    <w:p w:rsidR="00DE32F2" w:rsidRPr="00DE32F2" w:rsidRDefault="00DE32F2" w:rsidP="00DE32F2">
      <w:pPr>
        <w:spacing w:line="276" w:lineRule="auto"/>
        <w:jc w:val="left"/>
        <w:rPr>
          <w:b/>
          <w:sz w:val="24"/>
          <w:szCs w:val="24"/>
        </w:rPr>
      </w:pPr>
      <w:r>
        <w:rPr>
          <w:b/>
          <w:sz w:val="24"/>
          <w:szCs w:val="24"/>
        </w:rPr>
        <w:t>Clinical Non Pay</w:t>
      </w:r>
      <w:r w:rsidRPr="00DE32F2">
        <w:rPr>
          <w:b/>
          <w:sz w:val="24"/>
          <w:szCs w:val="24"/>
        </w:rPr>
        <w:t>:</w:t>
      </w:r>
    </w:p>
    <w:p w:rsidR="00DE32F2" w:rsidRDefault="00DE32F2" w:rsidP="00DE32F2">
      <w:pPr>
        <w:pStyle w:val="ListParagraph"/>
        <w:numPr>
          <w:ilvl w:val="0"/>
          <w:numId w:val="28"/>
        </w:numPr>
        <w:spacing w:line="276" w:lineRule="auto"/>
        <w:jc w:val="left"/>
        <w:rPr>
          <w:sz w:val="24"/>
          <w:szCs w:val="24"/>
        </w:rPr>
      </w:pPr>
      <w:r>
        <w:rPr>
          <w:sz w:val="24"/>
          <w:szCs w:val="24"/>
        </w:rPr>
        <w:t>Blood Sciences and Cellular Pathology</w:t>
      </w:r>
      <w:r w:rsidRPr="00DE32F2">
        <w:rPr>
          <w:sz w:val="24"/>
          <w:szCs w:val="24"/>
        </w:rPr>
        <w:t>:</w:t>
      </w:r>
      <w:r w:rsidRPr="00DE32F2">
        <w:rPr>
          <w:sz w:val="24"/>
          <w:szCs w:val="24"/>
        </w:rPr>
        <w:tab/>
      </w:r>
      <w:r w:rsidRPr="00DE32F2">
        <w:rPr>
          <w:sz w:val="24"/>
          <w:szCs w:val="24"/>
        </w:rPr>
        <w:tab/>
        <w:t>£</w:t>
      </w:r>
      <w:r>
        <w:rPr>
          <w:sz w:val="24"/>
          <w:szCs w:val="24"/>
        </w:rPr>
        <w:t>138</w:t>
      </w:r>
      <w:r w:rsidRPr="00DE32F2">
        <w:rPr>
          <w:sz w:val="24"/>
          <w:szCs w:val="24"/>
        </w:rPr>
        <w:t>k</w:t>
      </w:r>
    </w:p>
    <w:p w:rsidR="00DE32F2" w:rsidRPr="00DE32F2" w:rsidRDefault="00DE32F2" w:rsidP="00DE32F2">
      <w:pPr>
        <w:pStyle w:val="ListParagraph"/>
        <w:numPr>
          <w:ilvl w:val="0"/>
          <w:numId w:val="28"/>
        </w:numPr>
        <w:spacing w:line="276" w:lineRule="auto"/>
        <w:jc w:val="left"/>
        <w:rPr>
          <w:sz w:val="24"/>
          <w:szCs w:val="24"/>
        </w:rPr>
      </w:pPr>
      <w:r>
        <w:rPr>
          <w:sz w:val="24"/>
          <w:szCs w:val="24"/>
        </w:rPr>
        <w:t xml:space="preserve">Offset by </w:t>
      </w:r>
      <w:r w:rsidR="00A65520">
        <w:rPr>
          <w:sz w:val="24"/>
          <w:szCs w:val="24"/>
        </w:rPr>
        <w:t>Microbiology</w:t>
      </w:r>
      <w:r>
        <w:rPr>
          <w:sz w:val="24"/>
          <w:szCs w:val="24"/>
        </w:rPr>
        <w:t xml:space="preserve"> underspend:</w:t>
      </w:r>
      <w:r>
        <w:rPr>
          <w:sz w:val="24"/>
          <w:szCs w:val="24"/>
        </w:rPr>
        <w:tab/>
      </w:r>
      <w:r>
        <w:rPr>
          <w:sz w:val="24"/>
          <w:szCs w:val="24"/>
        </w:rPr>
        <w:tab/>
        <w:t>£98k</w:t>
      </w:r>
    </w:p>
    <w:p w:rsidR="008B1DDE" w:rsidRPr="00BC6496" w:rsidRDefault="008B1DDE" w:rsidP="008B1DDE">
      <w:pPr>
        <w:spacing w:line="276" w:lineRule="auto"/>
        <w:jc w:val="left"/>
        <w:rPr>
          <w:sz w:val="24"/>
          <w:szCs w:val="24"/>
        </w:rPr>
      </w:pPr>
    </w:p>
    <w:p w:rsidR="008B1DDE" w:rsidRPr="00BC6496" w:rsidRDefault="008B1DDE" w:rsidP="008B1DDE">
      <w:pPr>
        <w:spacing w:line="276" w:lineRule="auto"/>
        <w:jc w:val="left"/>
        <w:rPr>
          <w:b/>
          <w:sz w:val="24"/>
          <w:szCs w:val="24"/>
        </w:rPr>
      </w:pPr>
      <w:r w:rsidRPr="00BC6496">
        <w:rPr>
          <w:b/>
          <w:sz w:val="24"/>
          <w:szCs w:val="24"/>
        </w:rPr>
        <w:t>Establishment Expenses:</w:t>
      </w:r>
    </w:p>
    <w:p w:rsidR="008B1DDE" w:rsidRPr="00BC6496" w:rsidRDefault="00BC6496" w:rsidP="008B1DDE">
      <w:pPr>
        <w:pStyle w:val="ListParagraph"/>
        <w:numPr>
          <w:ilvl w:val="0"/>
          <w:numId w:val="28"/>
        </w:numPr>
        <w:spacing w:line="276" w:lineRule="auto"/>
        <w:jc w:val="left"/>
        <w:rPr>
          <w:sz w:val="24"/>
          <w:szCs w:val="24"/>
        </w:rPr>
      </w:pPr>
      <w:r w:rsidRPr="00BC6496">
        <w:rPr>
          <w:sz w:val="24"/>
          <w:szCs w:val="24"/>
        </w:rPr>
        <w:t>Stationary</w:t>
      </w:r>
      <w:r w:rsidR="008B1DDE" w:rsidRPr="00BC6496">
        <w:rPr>
          <w:sz w:val="24"/>
          <w:szCs w:val="24"/>
        </w:rPr>
        <w:t>:</w:t>
      </w:r>
      <w:r w:rsidR="008B1DDE" w:rsidRPr="00BC6496">
        <w:rPr>
          <w:sz w:val="24"/>
          <w:szCs w:val="24"/>
        </w:rPr>
        <w:tab/>
      </w:r>
      <w:r w:rsidR="008B1DDE" w:rsidRPr="00BC6496">
        <w:rPr>
          <w:sz w:val="24"/>
          <w:szCs w:val="24"/>
        </w:rPr>
        <w:tab/>
      </w:r>
      <w:r w:rsidR="008B1DDE" w:rsidRPr="00BC6496">
        <w:rPr>
          <w:sz w:val="24"/>
          <w:szCs w:val="24"/>
        </w:rPr>
        <w:tab/>
      </w:r>
      <w:r w:rsidR="008B1DDE" w:rsidRPr="00BC6496">
        <w:rPr>
          <w:sz w:val="24"/>
          <w:szCs w:val="24"/>
        </w:rPr>
        <w:tab/>
      </w:r>
      <w:r w:rsidR="008B1DDE" w:rsidRPr="00BC6496">
        <w:rPr>
          <w:sz w:val="24"/>
          <w:szCs w:val="24"/>
        </w:rPr>
        <w:tab/>
      </w:r>
      <w:r w:rsidR="008B1DDE" w:rsidRPr="00BC6496">
        <w:rPr>
          <w:sz w:val="24"/>
          <w:szCs w:val="24"/>
        </w:rPr>
        <w:tab/>
        <w:t>£</w:t>
      </w:r>
      <w:r w:rsidRPr="00BC6496">
        <w:rPr>
          <w:sz w:val="24"/>
          <w:szCs w:val="24"/>
        </w:rPr>
        <w:t>20</w:t>
      </w:r>
      <w:r w:rsidR="008B1DDE" w:rsidRPr="00BC6496">
        <w:rPr>
          <w:sz w:val="24"/>
          <w:szCs w:val="24"/>
        </w:rPr>
        <w:t>k</w:t>
      </w:r>
    </w:p>
    <w:p w:rsidR="008B1DDE" w:rsidRPr="00BC6496" w:rsidRDefault="008B1DDE" w:rsidP="008B1DDE">
      <w:pPr>
        <w:spacing w:line="276" w:lineRule="auto"/>
        <w:jc w:val="left"/>
        <w:rPr>
          <w:sz w:val="24"/>
          <w:szCs w:val="24"/>
        </w:rPr>
      </w:pPr>
    </w:p>
    <w:p w:rsidR="008B1DDE" w:rsidRPr="00BC6496" w:rsidRDefault="008B1DDE" w:rsidP="008B1DDE">
      <w:pPr>
        <w:spacing w:line="276" w:lineRule="auto"/>
        <w:jc w:val="left"/>
        <w:rPr>
          <w:b/>
          <w:sz w:val="24"/>
          <w:szCs w:val="24"/>
        </w:rPr>
      </w:pPr>
      <w:r w:rsidRPr="00BC6496">
        <w:rPr>
          <w:b/>
          <w:sz w:val="24"/>
          <w:szCs w:val="24"/>
        </w:rPr>
        <w:t>Savings Delivery – Material Variances:</w:t>
      </w:r>
    </w:p>
    <w:p w:rsidR="001A2F20" w:rsidRDefault="008B1DDE" w:rsidP="00BC6496">
      <w:pPr>
        <w:pStyle w:val="ListParagraph"/>
        <w:numPr>
          <w:ilvl w:val="0"/>
          <w:numId w:val="28"/>
        </w:numPr>
        <w:spacing w:line="276" w:lineRule="auto"/>
        <w:jc w:val="left"/>
        <w:rPr>
          <w:sz w:val="24"/>
          <w:szCs w:val="24"/>
        </w:rPr>
      </w:pPr>
      <w:r w:rsidRPr="00BC6496">
        <w:rPr>
          <w:sz w:val="24"/>
          <w:szCs w:val="24"/>
        </w:rPr>
        <w:t>AHP Vacancies:</w:t>
      </w:r>
      <w:r w:rsidRPr="00BC6496">
        <w:rPr>
          <w:sz w:val="24"/>
          <w:szCs w:val="24"/>
        </w:rPr>
        <w:tab/>
      </w:r>
      <w:r w:rsidRPr="00BC6496">
        <w:rPr>
          <w:sz w:val="24"/>
          <w:szCs w:val="24"/>
        </w:rPr>
        <w:tab/>
      </w:r>
      <w:r w:rsidRPr="00BC6496">
        <w:rPr>
          <w:sz w:val="24"/>
          <w:szCs w:val="24"/>
        </w:rPr>
        <w:tab/>
      </w:r>
      <w:r w:rsidRPr="00BC6496">
        <w:rPr>
          <w:sz w:val="24"/>
          <w:szCs w:val="24"/>
        </w:rPr>
        <w:tab/>
      </w:r>
      <w:r w:rsidRPr="00BC6496">
        <w:rPr>
          <w:sz w:val="24"/>
          <w:szCs w:val="24"/>
        </w:rPr>
        <w:tab/>
        <w:t>£</w:t>
      </w:r>
      <w:r w:rsidR="00BC6496" w:rsidRPr="00BC6496">
        <w:rPr>
          <w:sz w:val="24"/>
          <w:szCs w:val="24"/>
        </w:rPr>
        <w:t>89</w:t>
      </w:r>
      <w:r w:rsidRPr="00BC6496">
        <w:rPr>
          <w:sz w:val="24"/>
          <w:szCs w:val="24"/>
        </w:rPr>
        <w:t>k Positive</w:t>
      </w:r>
    </w:p>
    <w:p w:rsidR="00F25D3D" w:rsidRPr="00BC6496" w:rsidRDefault="00F25D3D" w:rsidP="00BC6496">
      <w:pPr>
        <w:pStyle w:val="ListParagraph"/>
        <w:numPr>
          <w:ilvl w:val="0"/>
          <w:numId w:val="28"/>
        </w:numPr>
        <w:spacing w:line="276" w:lineRule="auto"/>
        <w:jc w:val="left"/>
        <w:rPr>
          <w:sz w:val="24"/>
          <w:szCs w:val="24"/>
        </w:rPr>
      </w:pPr>
      <w:r w:rsidRPr="00BC6496">
        <w:rPr>
          <w:sz w:val="24"/>
          <w:szCs w:val="24"/>
        </w:rPr>
        <w:br w:type="page"/>
      </w:r>
    </w:p>
    <w:p w:rsidR="00F25D3D" w:rsidRPr="008B1DDE" w:rsidRDefault="00F25D3D">
      <w:pPr>
        <w:spacing w:after="200" w:line="276" w:lineRule="auto"/>
        <w:jc w:val="left"/>
        <w:rPr>
          <w:b/>
          <w:sz w:val="24"/>
          <w:szCs w:val="24"/>
        </w:rPr>
      </w:pPr>
      <w:r w:rsidRPr="008B1DDE">
        <w:rPr>
          <w:b/>
          <w:sz w:val="24"/>
          <w:szCs w:val="24"/>
        </w:rPr>
        <w:lastRenderedPageBreak/>
        <w:t>Operations Directorate – Therapy and Community Services:</w:t>
      </w:r>
    </w:p>
    <w:p w:rsidR="00F25D3D" w:rsidRDefault="008B1DDE">
      <w:pPr>
        <w:spacing w:after="200" w:line="276" w:lineRule="auto"/>
        <w:jc w:val="left"/>
        <w:rPr>
          <w:sz w:val="24"/>
          <w:szCs w:val="24"/>
        </w:rPr>
      </w:pPr>
      <w:r>
        <w:rPr>
          <w:sz w:val="24"/>
          <w:szCs w:val="24"/>
        </w:rPr>
        <w:t>The</w:t>
      </w:r>
      <w:r w:rsidR="00412393">
        <w:rPr>
          <w:sz w:val="24"/>
          <w:szCs w:val="24"/>
        </w:rPr>
        <w:t xml:space="preserve"> Division is underspent by £56</w:t>
      </w:r>
      <w:r>
        <w:rPr>
          <w:sz w:val="24"/>
          <w:szCs w:val="24"/>
        </w:rPr>
        <w:t>k, as broken down below:</w:t>
      </w:r>
    </w:p>
    <w:tbl>
      <w:tblPr>
        <w:tblW w:w="10363" w:type="dxa"/>
        <w:tblInd w:w="93" w:type="dxa"/>
        <w:tblLook w:val="04A0" w:firstRow="1" w:lastRow="0" w:firstColumn="1" w:lastColumn="0" w:noHBand="0" w:noVBand="1"/>
      </w:tblPr>
      <w:tblGrid>
        <w:gridCol w:w="4420"/>
        <w:gridCol w:w="2258"/>
        <w:gridCol w:w="1842"/>
        <w:gridCol w:w="1843"/>
      </w:tblGrid>
      <w:tr w:rsidR="00F25D3D" w:rsidRPr="00F25D3D" w:rsidTr="00F25D3D">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F25D3D" w:rsidRPr="00F25D3D" w:rsidRDefault="00F25D3D" w:rsidP="00F25D3D">
            <w:pP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Expenditure Category</w:t>
            </w:r>
          </w:p>
        </w:tc>
        <w:tc>
          <w:tcPr>
            <w:tcW w:w="2258" w:type="dxa"/>
            <w:tcBorders>
              <w:top w:val="single" w:sz="4" w:space="0" w:color="000000"/>
              <w:left w:val="single" w:sz="4" w:space="0" w:color="000000"/>
              <w:bottom w:val="nil"/>
              <w:right w:val="nil"/>
            </w:tcBorders>
            <w:shd w:val="clear" w:color="auto" w:fill="auto"/>
            <w:noWrap/>
            <w:vAlign w:val="bottom"/>
            <w:hideMark/>
          </w:tcPr>
          <w:p w:rsidR="00F25D3D" w:rsidRPr="00F25D3D"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YTD Budget £000s</w:t>
            </w:r>
          </w:p>
        </w:tc>
        <w:tc>
          <w:tcPr>
            <w:tcW w:w="1842" w:type="dxa"/>
            <w:tcBorders>
              <w:top w:val="single" w:sz="4" w:space="0" w:color="000000"/>
              <w:left w:val="nil"/>
              <w:bottom w:val="nil"/>
              <w:right w:val="nil"/>
            </w:tcBorders>
            <w:shd w:val="clear" w:color="auto" w:fill="auto"/>
            <w:noWrap/>
            <w:vAlign w:val="bottom"/>
            <w:hideMark/>
          </w:tcPr>
          <w:p w:rsidR="00F25D3D" w:rsidRPr="00F25D3D"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YTD Actual £000s</w:t>
            </w:r>
          </w:p>
        </w:tc>
        <w:tc>
          <w:tcPr>
            <w:tcW w:w="1843" w:type="dxa"/>
            <w:tcBorders>
              <w:top w:val="single" w:sz="4" w:space="0" w:color="000000"/>
              <w:left w:val="nil"/>
              <w:bottom w:val="nil"/>
              <w:right w:val="single" w:sz="4" w:space="0" w:color="000000"/>
            </w:tcBorders>
            <w:shd w:val="clear" w:color="auto" w:fill="auto"/>
            <w:noWrap/>
            <w:vAlign w:val="bottom"/>
            <w:hideMark/>
          </w:tcPr>
          <w:p w:rsidR="00F25D3D" w:rsidRPr="00F25D3D" w:rsidRDefault="00F25D3D" w:rsidP="00F25D3D">
            <w:pPr>
              <w:jc w:val="center"/>
              <w:rPr>
                <w:rFonts w:ascii="Calibri" w:eastAsia="Times New Roman" w:hAnsi="Calibri" w:cs="Times New Roman"/>
                <w:b/>
                <w:color w:val="000000"/>
                <w:lang w:eastAsia="en-GB"/>
              </w:rPr>
            </w:pPr>
            <w:r w:rsidRPr="00F25D3D">
              <w:rPr>
                <w:rFonts w:ascii="Calibri" w:eastAsia="Times New Roman" w:hAnsi="Calibri" w:cs="Times New Roman"/>
                <w:b/>
                <w:color w:val="000000"/>
                <w:lang w:eastAsia="en-GB"/>
              </w:rPr>
              <w:t>Variance £000s</w:t>
            </w:r>
          </w:p>
        </w:tc>
      </w:tr>
      <w:tr w:rsidR="00412393" w:rsidRPr="00F25D3D" w:rsidTr="00F25D3D">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NHS Clinical Income</w:t>
            </w:r>
          </w:p>
        </w:tc>
        <w:tc>
          <w:tcPr>
            <w:tcW w:w="2258" w:type="dxa"/>
            <w:tcBorders>
              <w:top w:val="single" w:sz="4" w:space="0" w:color="000000"/>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686.4</w:t>
            </w:r>
            <w:r w:rsidRPr="00910118">
              <w:rPr>
                <w:rFonts w:ascii="Calibri" w:hAnsi="Calibri"/>
                <w:color w:val="FF0000"/>
              </w:rPr>
              <w:t>)</w:t>
            </w:r>
          </w:p>
        </w:tc>
        <w:tc>
          <w:tcPr>
            <w:tcW w:w="1842" w:type="dxa"/>
            <w:tcBorders>
              <w:top w:val="single" w:sz="4" w:space="0" w:color="000000"/>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570.5</w:t>
            </w:r>
            <w:r w:rsidRPr="00910118">
              <w:rPr>
                <w:rFonts w:ascii="Calibri" w:hAnsi="Calibri"/>
                <w:color w:val="FF0000"/>
              </w:rPr>
              <w:t>)</w:t>
            </w:r>
          </w:p>
        </w:tc>
        <w:tc>
          <w:tcPr>
            <w:tcW w:w="1843" w:type="dxa"/>
            <w:tcBorders>
              <w:top w:val="single" w:sz="4" w:space="0" w:color="000000"/>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115.9</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Other Income</w:t>
            </w:r>
          </w:p>
        </w:tc>
        <w:tc>
          <w:tcPr>
            <w:tcW w:w="2258"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5.2</w:t>
            </w:r>
            <w:r w:rsidRPr="00910118">
              <w:rPr>
                <w:rFonts w:ascii="Calibri" w:hAnsi="Calibri"/>
                <w:color w:val="FF0000"/>
              </w:rPr>
              <w:t>)</w:t>
            </w:r>
          </w:p>
        </w:tc>
        <w:tc>
          <w:tcPr>
            <w:tcW w:w="1842"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0.4</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4.9</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Purchase of Healthcare Services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26.8</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30.1</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3.3</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Education Income</w:t>
            </w:r>
          </w:p>
        </w:tc>
        <w:tc>
          <w:tcPr>
            <w:tcW w:w="2258"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34.8</w:t>
            </w:r>
            <w:r w:rsidRPr="00910118">
              <w:rPr>
                <w:rFonts w:ascii="Calibri" w:hAnsi="Calibri"/>
                <w:color w:val="FF0000"/>
              </w:rPr>
              <w:t>)</w:t>
            </w:r>
          </w:p>
        </w:tc>
        <w:tc>
          <w:tcPr>
            <w:tcW w:w="1842"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32.3</w:t>
            </w:r>
            <w:r w:rsidRPr="00910118">
              <w:rPr>
                <w:rFonts w:ascii="Calibri" w:hAnsi="Calibri"/>
                <w:color w:val="FF0000"/>
              </w:rPr>
              <w:t>)</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2.5</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Clinical Supplies &amp; Services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727.4</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728.7</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1.3</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General Supplies &amp; Services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26.6</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27.0</w:t>
            </w:r>
          </w:p>
        </w:tc>
        <w:tc>
          <w:tcPr>
            <w:tcW w:w="1843"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0.5</w:t>
            </w:r>
            <w:r>
              <w:rPr>
                <w:rFonts w:ascii="Calibri" w:hAnsi="Calibri"/>
                <w:color w:val="FF0000"/>
              </w:rPr>
              <w:t>)</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Education Expenditure</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12.4</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12.2</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0.2</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Other Establishment Costs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5.9</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5.2</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0.7</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Miscellaneous Expenditure</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1.2</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0.0</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1.2</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Premises and Fixed Plant</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61.8</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59.1</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2.7</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Admin &amp; Clerical Staff</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915.7</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904.5</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11.2</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Drugs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67.0</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55.6</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11.5</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Establishment Expenses</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283.6</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270.4</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13.2</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Nursing Staff</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2,654.7</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2,631.6</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23.1</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Support Staff</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191.8</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166.6</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25.2</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Medical Staff</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360.4</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327.7</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32.6</w:t>
            </w:r>
          </w:p>
        </w:tc>
      </w:tr>
      <w:tr w:rsidR="00412393" w:rsidRPr="00F25D3D" w:rsidTr="00F25D3D">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Scientific, Therapeutic &amp; Technical Staff</w:t>
            </w:r>
          </w:p>
        </w:tc>
        <w:tc>
          <w:tcPr>
            <w:tcW w:w="2258"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3,964.1</w:t>
            </w:r>
          </w:p>
        </w:tc>
        <w:tc>
          <w:tcPr>
            <w:tcW w:w="1842"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3,901.4</w:t>
            </w:r>
          </w:p>
        </w:tc>
        <w:tc>
          <w:tcPr>
            <w:tcW w:w="1843"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62.7</w:t>
            </w:r>
          </w:p>
        </w:tc>
      </w:tr>
      <w:tr w:rsidR="00412393" w:rsidRPr="00F25D3D" w:rsidTr="00F25D3D">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412393" w:rsidRDefault="00412393">
            <w:pPr>
              <w:rPr>
                <w:rFonts w:ascii="Calibri" w:hAnsi="Calibri"/>
                <w:b/>
                <w:color w:val="000000"/>
              </w:rPr>
            </w:pPr>
            <w:r w:rsidRPr="00412393">
              <w:rPr>
                <w:rFonts w:ascii="Calibri" w:hAnsi="Calibri"/>
                <w:b/>
                <w:color w:val="000000"/>
              </w:rPr>
              <w:t>Total</w:t>
            </w:r>
          </w:p>
        </w:tc>
        <w:tc>
          <w:tcPr>
            <w:tcW w:w="2258"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8,572.9</w:t>
            </w:r>
          </w:p>
        </w:tc>
        <w:tc>
          <w:tcPr>
            <w:tcW w:w="1842" w:type="dxa"/>
            <w:tcBorders>
              <w:top w:val="single" w:sz="4" w:space="0" w:color="000000"/>
              <w:left w:val="nil"/>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8,516.9</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56.0</w:t>
            </w:r>
          </w:p>
        </w:tc>
      </w:tr>
    </w:tbl>
    <w:p w:rsidR="00F25D3D" w:rsidRPr="00BC6496" w:rsidRDefault="00F25D3D" w:rsidP="008B1DDE">
      <w:pPr>
        <w:spacing w:line="276" w:lineRule="auto"/>
        <w:jc w:val="left"/>
        <w:rPr>
          <w:sz w:val="24"/>
          <w:szCs w:val="24"/>
        </w:rPr>
      </w:pPr>
    </w:p>
    <w:p w:rsidR="00F25D3D" w:rsidRPr="00BC6496" w:rsidRDefault="008B1DDE" w:rsidP="008B1DDE">
      <w:pPr>
        <w:spacing w:line="276" w:lineRule="auto"/>
        <w:jc w:val="left"/>
        <w:rPr>
          <w:sz w:val="24"/>
          <w:szCs w:val="24"/>
        </w:rPr>
      </w:pPr>
      <w:r w:rsidRPr="00BC6496">
        <w:rPr>
          <w:sz w:val="24"/>
          <w:szCs w:val="24"/>
        </w:rPr>
        <w:t>Material variances:</w:t>
      </w:r>
    </w:p>
    <w:p w:rsidR="008B1DDE" w:rsidRPr="00BC6496" w:rsidRDefault="008B1DDE" w:rsidP="008B1DDE">
      <w:pPr>
        <w:spacing w:line="276" w:lineRule="auto"/>
        <w:jc w:val="left"/>
        <w:rPr>
          <w:sz w:val="24"/>
          <w:szCs w:val="24"/>
        </w:rPr>
      </w:pPr>
    </w:p>
    <w:p w:rsidR="008B1DDE" w:rsidRPr="00BC6496" w:rsidRDefault="008B1DDE" w:rsidP="008B1DDE">
      <w:pPr>
        <w:spacing w:line="276" w:lineRule="auto"/>
        <w:jc w:val="left"/>
        <w:rPr>
          <w:b/>
          <w:sz w:val="24"/>
          <w:szCs w:val="24"/>
        </w:rPr>
      </w:pPr>
      <w:r w:rsidRPr="00BC6496">
        <w:rPr>
          <w:b/>
          <w:sz w:val="24"/>
          <w:szCs w:val="24"/>
        </w:rPr>
        <w:t>NHS Clinical Income:</w:t>
      </w:r>
    </w:p>
    <w:p w:rsidR="008B1DDE" w:rsidRPr="00BC6496" w:rsidRDefault="008B1DDE" w:rsidP="008B1DDE">
      <w:pPr>
        <w:pStyle w:val="ListParagraph"/>
        <w:numPr>
          <w:ilvl w:val="0"/>
          <w:numId w:val="28"/>
        </w:numPr>
        <w:spacing w:line="276" w:lineRule="auto"/>
        <w:jc w:val="left"/>
        <w:rPr>
          <w:sz w:val="24"/>
          <w:szCs w:val="24"/>
        </w:rPr>
      </w:pPr>
      <w:r w:rsidRPr="00BC6496">
        <w:rPr>
          <w:sz w:val="24"/>
          <w:szCs w:val="24"/>
        </w:rPr>
        <w:t xml:space="preserve">NRC Goole – </w:t>
      </w:r>
      <w:r w:rsidR="00BC6496">
        <w:rPr>
          <w:sz w:val="24"/>
          <w:szCs w:val="24"/>
        </w:rPr>
        <w:t xml:space="preserve">Core bed base and also </w:t>
      </w:r>
      <w:r w:rsidRPr="00BC6496">
        <w:rPr>
          <w:sz w:val="24"/>
          <w:szCs w:val="24"/>
        </w:rPr>
        <w:t>expansion income slippage:</w:t>
      </w:r>
      <w:r w:rsidRPr="00BC6496">
        <w:rPr>
          <w:sz w:val="24"/>
          <w:szCs w:val="24"/>
        </w:rPr>
        <w:tab/>
      </w:r>
      <w:r w:rsidRPr="00BC6496">
        <w:rPr>
          <w:sz w:val="24"/>
          <w:szCs w:val="24"/>
        </w:rPr>
        <w:tab/>
        <w:t>£</w:t>
      </w:r>
      <w:r w:rsidR="00BC6496" w:rsidRPr="00BC6496">
        <w:rPr>
          <w:sz w:val="24"/>
          <w:szCs w:val="24"/>
        </w:rPr>
        <w:t>115</w:t>
      </w:r>
      <w:r w:rsidRPr="00BC6496">
        <w:rPr>
          <w:sz w:val="24"/>
          <w:szCs w:val="24"/>
        </w:rPr>
        <w:t>k</w:t>
      </w:r>
    </w:p>
    <w:p w:rsidR="00BC6496" w:rsidRPr="00BC6496" w:rsidRDefault="00BC6496" w:rsidP="008B1DDE">
      <w:pPr>
        <w:pStyle w:val="ListParagraph"/>
        <w:numPr>
          <w:ilvl w:val="0"/>
          <w:numId w:val="28"/>
        </w:numPr>
        <w:spacing w:line="276" w:lineRule="auto"/>
        <w:jc w:val="left"/>
        <w:rPr>
          <w:sz w:val="24"/>
          <w:szCs w:val="24"/>
        </w:rPr>
      </w:pPr>
      <w:r w:rsidRPr="00BC6496">
        <w:rPr>
          <w:sz w:val="24"/>
          <w:szCs w:val="24"/>
        </w:rPr>
        <w:t>Partly offset by vacancies held for expansion</w:t>
      </w:r>
    </w:p>
    <w:p w:rsidR="008B1DDE" w:rsidRPr="00412393" w:rsidRDefault="008B1DDE" w:rsidP="008B1DDE">
      <w:pPr>
        <w:spacing w:line="276" w:lineRule="auto"/>
        <w:jc w:val="left"/>
        <w:rPr>
          <w:color w:val="FF0000"/>
          <w:sz w:val="24"/>
          <w:szCs w:val="24"/>
        </w:rPr>
      </w:pPr>
    </w:p>
    <w:p w:rsidR="008B1DDE" w:rsidRPr="00BC6496" w:rsidRDefault="008B1DDE" w:rsidP="008B1DDE">
      <w:pPr>
        <w:spacing w:line="276" w:lineRule="auto"/>
        <w:jc w:val="left"/>
        <w:rPr>
          <w:b/>
          <w:sz w:val="24"/>
          <w:szCs w:val="24"/>
        </w:rPr>
      </w:pPr>
      <w:r w:rsidRPr="00BC6496">
        <w:rPr>
          <w:b/>
          <w:sz w:val="24"/>
          <w:szCs w:val="24"/>
        </w:rPr>
        <w:t>Staffing (cross Division and groups):</w:t>
      </w:r>
    </w:p>
    <w:p w:rsidR="008B1DDE" w:rsidRPr="00BC6496" w:rsidRDefault="008B1DDE" w:rsidP="008B1DDE">
      <w:pPr>
        <w:pStyle w:val="ListParagraph"/>
        <w:numPr>
          <w:ilvl w:val="0"/>
          <w:numId w:val="28"/>
        </w:numPr>
        <w:spacing w:line="276" w:lineRule="auto"/>
        <w:jc w:val="left"/>
        <w:rPr>
          <w:sz w:val="24"/>
          <w:szCs w:val="24"/>
        </w:rPr>
      </w:pPr>
      <w:r w:rsidRPr="00BC6496">
        <w:rPr>
          <w:sz w:val="24"/>
          <w:szCs w:val="24"/>
        </w:rPr>
        <w:t>Vacancies held:</w:t>
      </w:r>
      <w:r w:rsidRPr="00BC6496">
        <w:rPr>
          <w:sz w:val="24"/>
          <w:szCs w:val="24"/>
        </w:rPr>
        <w:tab/>
      </w:r>
      <w:r w:rsidRPr="00BC6496">
        <w:rPr>
          <w:sz w:val="24"/>
          <w:szCs w:val="24"/>
        </w:rPr>
        <w:tab/>
      </w:r>
      <w:r w:rsidRPr="00BC6496">
        <w:rPr>
          <w:sz w:val="24"/>
          <w:szCs w:val="24"/>
        </w:rPr>
        <w:tab/>
      </w:r>
      <w:r w:rsidRPr="00BC6496">
        <w:rPr>
          <w:sz w:val="24"/>
          <w:szCs w:val="24"/>
        </w:rPr>
        <w:tab/>
      </w:r>
      <w:r w:rsidRPr="00BC6496">
        <w:rPr>
          <w:sz w:val="24"/>
          <w:szCs w:val="24"/>
        </w:rPr>
        <w:tab/>
      </w:r>
      <w:r w:rsidRPr="00BC6496">
        <w:rPr>
          <w:sz w:val="24"/>
          <w:szCs w:val="24"/>
        </w:rPr>
        <w:tab/>
      </w:r>
      <w:r w:rsidR="002D3731">
        <w:rPr>
          <w:sz w:val="24"/>
          <w:szCs w:val="24"/>
        </w:rPr>
        <w:tab/>
      </w:r>
      <w:r w:rsidR="002D3731">
        <w:rPr>
          <w:sz w:val="24"/>
          <w:szCs w:val="24"/>
        </w:rPr>
        <w:tab/>
      </w:r>
      <w:r w:rsidR="002D3731">
        <w:rPr>
          <w:sz w:val="24"/>
          <w:szCs w:val="24"/>
        </w:rPr>
        <w:tab/>
      </w:r>
      <w:r w:rsidRPr="00BC6496">
        <w:rPr>
          <w:sz w:val="24"/>
          <w:szCs w:val="24"/>
        </w:rPr>
        <w:t>£1</w:t>
      </w:r>
      <w:r w:rsidR="00BC6496" w:rsidRPr="00BC6496">
        <w:rPr>
          <w:sz w:val="24"/>
          <w:szCs w:val="24"/>
        </w:rPr>
        <w:t>55</w:t>
      </w:r>
      <w:r w:rsidRPr="00BC6496">
        <w:rPr>
          <w:sz w:val="24"/>
          <w:szCs w:val="24"/>
        </w:rPr>
        <w:t>k Positive</w:t>
      </w:r>
    </w:p>
    <w:p w:rsidR="00F25D3D" w:rsidRPr="00BC6496" w:rsidRDefault="00F25D3D" w:rsidP="008B1DDE">
      <w:pPr>
        <w:spacing w:line="276" w:lineRule="auto"/>
        <w:jc w:val="left"/>
        <w:rPr>
          <w:sz w:val="24"/>
          <w:szCs w:val="24"/>
        </w:rPr>
      </w:pPr>
    </w:p>
    <w:p w:rsidR="00A23509" w:rsidRPr="00BC6496" w:rsidRDefault="008B1DDE" w:rsidP="008B1DDE">
      <w:pPr>
        <w:spacing w:line="276" w:lineRule="auto"/>
        <w:jc w:val="left"/>
        <w:rPr>
          <w:b/>
          <w:sz w:val="24"/>
          <w:szCs w:val="24"/>
        </w:rPr>
      </w:pPr>
      <w:r w:rsidRPr="00BC6496">
        <w:rPr>
          <w:b/>
          <w:sz w:val="24"/>
          <w:szCs w:val="24"/>
        </w:rPr>
        <w:t>Savings Programme – Material Variances:</w:t>
      </w:r>
    </w:p>
    <w:p w:rsidR="00FB15B0" w:rsidRPr="00BC6496" w:rsidRDefault="008B1DDE" w:rsidP="008B1DDE">
      <w:pPr>
        <w:pStyle w:val="ListParagraph"/>
        <w:numPr>
          <w:ilvl w:val="0"/>
          <w:numId w:val="28"/>
        </w:numPr>
        <w:rPr>
          <w:noProof/>
          <w:sz w:val="24"/>
          <w:szCs w:val="24"/>
          <w:lang w:eastAsia="en-GB"/>
        </w:rPr>
      </w:pPr>
      <w:r w:rsidRPr="00BC6496">
        <w:rPr>
          <w:noProof/>
          <w:sz w:val="24"/>
          <w:szCs w:val="24"/>
          <w:lang w:eastAsia="en-GB"/>
        </w:rPr>
        <w:t xml:space="preserve">NRCG </w:t>
      </w:r>
      <w:r w:rsidR="00BC6496" w:rsidRPr="00BC6496">
        <w:rPr>
          <w:noProof/>
          <w:sz w:val="24"/>
          <w:szCs w:val="24"/>
          <w:lang w:eastAsia="en-GB"/>
        </w:rPr>
        <w:t xml:space="preserve">Expansion </w:t>
      </w:r>
      <w:r w:rsidRPr="00BC6496">
        <w:rPr>
          <w:noProof/>
          <w:sz w:val="24"/>
          <w:szCs w:val="24"/>
          <w:lang w:eastAsia="en-GB"/>
        </w:rPr>
        <w:t>Income:</w:t>
      </w:r>
      <w:r w:rsidRPr="00BC6496">
        <w:rPr>
          <w:noProof/>
          <w:sz w:val="24"/>
          <w:szCs w:val="24"/>
          <w:lang w:eastAsia="en-GB"/>
        </w:rPr>
        <w:tab/>
      </w:r>
      <w:r w:rsidRPr="00BC6496">
        <w:rPr>
          <w:noProof/>
          <w:sz w:val="24"/>
          <w:szCs w:val="24"/>
          <w:lang w:eastAsia="en-GB"/>
        </w:rPr>
        <w:tab/>
      </w:r>
      <w:r w:rsidRPr="00BC6496">
        <w:rPr>
          <w:noProof/>
          <w:sz w:val="24"/>
          <w:szCs w:val="24"/>
          <w:lang w:eastAsia="en-GB"/>
        </w:rPr>
        <w:tab/>
      </w:r>
      <w:r w:rsidRPr="00BC6496">
        <w:rPr>
          <w:noProof/>
          <w:sz w:val="24"/>
          <w:szCs w:val="24"/>
          <w:lang w:eastAsia="en-GB"/>
        </w:rPr>
        <w:tab/>
      </w:r>
      <w:r w:rsidRPr="00BC6496">
        <w:rPr>
          <w:noProof/>
          <w:sz w:val="24"/>
          <w:szCs w:val="24"/>
          <w:lang w:eastAsia="en-GB"/>
        </w:rPr>
        <w:tab/>
      </w:r>
      <w:r w:rsidRPr="00BC6496">
        <w:rPr>
          <w:noProof/>
          <w:sz w:val="24"/>
          <w:szCs w:val="24"/>
          <w:lang w:eastAsia="en-GB"/>
        </w:rPr>
        <w:tab/>
      </w:r>
      <w:r w:rsidR="002D3731">
        <w:rPr>
          <w:noProof/>
          <w:sz w:val="24"/>
          <w:szCs w:val="24"/>
          <w:lang w:eastAsia="en-GB"/>
        </w:rPr>
        <w:tab/>
      </w:r>
      <w:r w:rsidR="002D3731">
        <w:rPr>
          <w:noProof/>
          <w:sz w:val="24"/>
          <w:szCs w:val="24"/>
          <w:lang w:eastAsia="en-GB"/>
        </w:rPr>
        <w:tab/>
      </w:r>
      <w:r w:rsidRPr="00BC6496">
        <w:rPr>
          <w:noProof/>
          <w:sz w:val="24"/>
          <w:szCs w:val="24"/>
          <w:lang w:eastAsia="en-GB"/>
        </w:rPr>
        <w:t>£</w:t>
      </w:r>
      <w:r w:rsidR="00BC6496" w:rsidRPr="00BC6496">
        <w:rPr>
          <w:noProof/>
          <w:sz w:val="24"/>
          <w:szCs w:val="24"/>
          <w:lang w:eastAsia="en-GB"/>
        </w:rPr>
        <w:t xml:space="preserve">82k </w:t>
      </w:r>
    </w:p>
    <w:p w:rsidR="00FB15B0" w:rsidRPr="00412393" w:rsidRDefault="00FB15B0" w:rsidP="00181120">
      <w:pPr>
        <w:rPr>
          <w:noProof/>
          <w:color w:val="FF0000"/>
          <w:sz w:val="24"/>
          <w:szCs w:val="24"/>
          <w:lang w:eastAsia="en-GB"/>
        </w:rPr>
      </w:pPr>
    </w:p>
    <w:p w:rsidR="00FB15B0" w:rsidRPr="00A23509" w:rsidRDefault="00FB15B0" w:rsidP="00181120">
      <w:pPr>
        <w:rPr>
          <w:noProof/>
          <w:sz w:val="24"/>
          <w:szCs w:val="24"/>
          <w:lang w:eastAsia="en-GB"/>
        </w:rPr>
      </w:pPr>
    </w:p>
    <w:p w:rsidR="00FB15B0" w:rsidRPr="00A23509" w:rsidRDefault="00FB15B0" w:rsidP="00181120">
      <w:pPr>
        <w:rPr>
          <w:noProof/>
          <w:sz w:val="24"/>
          <w:szCs w:val="24"/>
          <w:lang w:eastAsia="en-GB"/>
        </w:rPr>
      </w:pPr>
    </w:p>
    <w:p w:rsidR="00181120" w:rsidRPr="00654530" w:rsidRDefault="00181120" w:rsidP="00181120">
      <w:pPr>
        <w:spacing w:after="200" w:line="276" w:lineRule="auto"/>
        <w:jc w:val="left"/>
        <w:rPr>
          <w:b/>
          <w:color w:val="000000" w:themeColor="text1"/>
          <w:sz w:val="24"/>
          <w:szCs w:val="24"/>
        </w:rPr>
      </w:pPr>
      <w:r w:rsidRPr="00654530">
        <w:rPr>
          <w:b/>
          <w:color w:val="000000" w:themeColor="text1"/>
          <w:sz w:val="24"/>
          <w:szCs w:val="24"/>
        </w:rPr>
        <w:br w:type="page"/>
      </w:r>
    </w:p>
    <w:p w:rsidR="00654530" w:rsidRDefault="008E4B65" w:rsidP="008E4B65">
      <w:pPr>
        <w:rPr>
          <w:b/>
          <w:sz w:val="24"/>
          <w:szCs w:val="24"/>
        </w:rPr>
      </w:pPr>
      <w:r>
        <w:rPr>
          <w:b/>
          <w:sz w:val="24"/>
          <w:szCs w:val="24"/>
        </w:rPr>
        <w:lastRenderedPageBreak/>
        <w:t>Estates and Facilities</w:t>
      </w:r>
    </w:p>
    <w:p w:rsidR="00654530" w:rsidRDefault="00654530" w:rsidP="008E4B65">
      <w:pPr>
        <w:rPr>
          <w:b/>
          <w:sz w:val="24"/>
          <w:szCs w:val="24"/>
        </w:rPr>
      </w:pPr>
    </w:p>
    <w:p w:rsidR="008E4B65" w:rsidRDefault="00412393" w:rsidP="001A2F20">
      <w:pPr>
        <w:jc w:val="left"/>
        <w:rPr>
          <w:sz w:val="24"/>
          <w:szCs w:val="24"/>
        </w:rPr>
      </w:pPr>
      <w:r>
        <w:rPr>
          <w:sz w:val="24"/>
          <w:szCs w:val="24"/>
        </w:rPr>
        <w:t>The Directorate is £389k over budget, equivalent to 4.9</w:t>
      </w:r>
      <w:r w:rsidR="008E4B65" w:rsidRPr="008E4B65">
        <w:rPr>
          <w:sz w:val="24"/>
          <w:szCs w:val="24"/>
        </w:rPr>
        <w:t>% of expenditure allocation.</w:t>
      </w:r>
      <w:r w:rsidR="008E4B65">
        <w:rPr>
          <w:sz w:val="24"/>
          <w:szCs w:val="24"/>
        </w:rPr>
        <w:t xml:space="preserve"> The breakdown across the Directorate is as follows:</w:t>
      </w:r>
    </w:p>
    <w:p w:rsidR="008E4B65" w:rsidRDefault="008E4B65" w:rsidP="008E4B65">
      <w:pPr>
        <w:spacing w:line="276" w:lineRule="auto"/>
        <w:jc w:val="left"/>
        <w:rPr>
          <w:sz w:val="24"/>
          <w:szCs w:val="24"/>
        </w:rPr>
      </w:pPr>
    </w:p>
    <w:tbl>
      <w:tblPr>
        <w:tblW w:w="10363" w:type="dxa"/>
        <w:tblInd w:w="93" w:type="dxa"/>
        <w:tblLook w:val="04A0" w:firstRow="1" w:lastRow="0" w:firstColumn="1" w:lastColumn="0" w:noHBand="0" w:noVBand="1"/>
      </w:tblPr>
      <w:tblGrid>
        <w:gridCol w:w="4410"/>
        <w:gridCol w:w="1984"/>
        <w:gridCol w:w="1985"/>
        <w:gridCol w:w="1984"/>
      </w:tblGrid>
      <w:tr w:rsidR="008E4B65" w:rsidRPr="008E4B65" w:rsidTr="00D6712C">
        <w:trPr>
          <w:trHeight w:val="300"/>
        </w:trPr>
        <w:tc>
          <w:tcPr>
            <w:tcW w:w="4410" w:type="dxa"/>
            <w:tcBorders>
              <w:top w:val="single" w:sz="4" w:space="0" w:color="000000"/>
              <w:left w:val="single" w:sz="4" w:space="0" w:color="000000"/>
              <w:bottom w:val="nil"/>
              <w:right w:val="nil"/>
            </w:tcBorders>
            <w:shd w:val="clear" w:color="auto" w:fill="auto"/>
            <w:noWrap/>
            <w:vAlign w:val="bottom"/>
            <w:hideMark/>
          </w:tcPr>
          <w:p w:rsidR="008E4B65" w:rsidRPr="008E4B65" w:rsidRDefault="008E4B65" w:rsidP="008E4B65">
            <w:pPr>
              <w:jc w:val="left"/>
              <w:rPr>
                <w:rFonts w:ascii="Calibri" w:eastAsia="Times New Roman" w:hAnsi="Calibri" w:cs="Times New Roman"/>
                <w:b/>
                <w:color w:val="000000"/>
                <w:lang w:eastAsia="en-GB"/>
              </w:rPr>
            </w:pPr>
            <w:r w:rsidRPr="008E4B65">
              <w:rPr>
                <w:rFonts w:ascii="Calibri" w:eastAsia="Times New Roman" w:hAnsi="Calibri" w:cs="Times New Roman"/>
                <w:b/>
                <w:color w:val="000000"/>
                <w:lang w:eastAsia="en-GB"/>
              </w:rPr>
              <w:t>Subdirectorate</w:t>
            </w:r>
          </w:p>
        </w:tc>
        <w:tc>
          <w:tcPr>
            <w:tcW w:w="1984" w:type="dxa"/>
            <w:tcBorders>
              <w:top w:val="single" w:sz="4" w:space="0" w:color="000000"/>
              <w:left w:val="single" w:sz="4" w:space="0" w:color="000000"/>
              <w:bottom w:val="nil"/>
              <w:right w:val="nil"/>
            </w:tcBorders>
            <w:shd w:val="clear" w:color="auto" w:fill="auto"/>
            <w:noWrap/>
            <w:vAlign w:val="bottom"/>
            <w:hideMark/>
          </w:tcPr>
          <w:p w:rsidR="008E4B65" w:rsidRPr="008E4B65" w:rsidRDefault="008E4B65" w:rsidP="008E4B65">
            <w:pPr>
              <w:jc w:val="center"/>
              <w:rPr>
                <w:rFonts w:ascii="Calibri" w:eastAsia="Times New Roman" w:hAnsi="Calibri" w:cs="Times New Roman"/>
                <w:b/>
                <w:color w:val="000000"/>
                <w:lang w:eastAsia="en-GB"/>
              </w:rPr>
            </w:pPr>
            <w:r w:rsidRPr="008E4B65">
              <w:rPr>
                <w:rFonts w:ascii="Calibri" w:eastAsia="Times New Roman" w:hAnsi="Calibri" w:cs="Times New Roman"/>
                <w:b/>
                <w:color w:val="000000"/>
                <w:lang w:eastAsia="en-GB"/>
              </w:rPr>
              <w:t>YTD Budget £000s</w:t>
            </w:r>
          </w:p>
        </w:tc>
        <w:tc>
          <w:tcPr>
            <w:tcW w:w="1985" w:type="dxa"/>
            <w:tcBorders>
              <w:top w:val="single" w:sz="4" w:space="0" w:color="000000"/>
              <w:left w:val="nil"/>
              <w:bottom w:val="nil"/>
              <w:right w:val="nil"/>
            </w:tcBorders>
            <w:shd w:val="clear" w:color="auto" w:fill="auto"/>
            <w:noWrap/>
            <w:vAlign w:val="bottom"/>
            <w:hideMark/>
          </w:tcPr>
          <w:p w:rsidR="008E4B65" w:rsidRPr="008E4B65" w:rsidRDefault="008E4B65" w:rsidP="008E4B65">
            <w:pPr>
              <w:jc w:val="center"/>
              <w:rPr>
                <w:rFonts w:ascii="Calibri" w:eastAsia="Times New Roman" w:hAnsi="Calibri" w:cs="Times New Roman"/>
                <w:b/>
                <w:color w:val="000000"/>
                <w:lang w:eastAsia="en-GB"/>
              </w:rPr>
            </w:pPr>
            <w:r w:rsidRPr="008E4B65">
              <w:rPr>
                <w:rFonts w:ascii="Calibri" w:eastAsia="Times New Roman" w:hAnsi="Calibri" w:cs="Times New Roman"/>
                <w:b/>
                <w:color w:val="000000"/>
                <w:lang w:eastAsia="en-GB"/>
              </w:rPr>
              <w:t>YTD Actual £000s</w:t>
            </w:r>
          </w:p>
        </w:tc>
        <w:tc>
          <w:tcPr>
            <w:tcW w:w="1984" w:type="dxa"/>
            <w:tcBorders>
              <w:top w:val="single" w:sz="4" w:space="0" w:color="000000"/>
              <w:left w:val="nil"/>
              <w:bottom w:val="nil"/>
              <w:right w:val="single" w:sz="4" w:space="0" w:color="000000"/>
            </w:tcBorders>
            <w:shd w:val="clear" w:color="auto" w:fill="auto"/>
            <w:noWrap/>
            <w:vAlign w:val="bottom"/>
            <w:hideMark/>
          </w:tcPr>
          <w:p w:rsidR="008E4B65" w:rsidRPr="008E4B65" w:rsidRDefault="008E4B65" w:rsidP="008E4B65">
            <w:pPr>
              <w:jc w:val="center"/>
              <w:rPr>
                <w:rFonts w:ascii="Calibri" w:eastAsia="Times New Roman" w:hAnsi="Calibri" w:cs="Times New Roman"/>
                <w:b/>
                <w:color w:val="000000"/>
                <w:lang w:eastAsia="en-GB"/>
              </w:rPr>
            </w:pPr>
            <w:r w:rsidRPr="008E4B65">
              <w:rPr>
                <w:rFonts w:ascii="Calibri" w:eastAsia="Times New Roman" w:hAnsi="Calibri" w:cs="Times New Roman"/>
                <w:b/>
                <w:color w:val="000000"/>
                <w:lang w:eastAsia="en-GB"/>
              </w:rPr>
              <w:t>Variance £000s</w:t>
            </w:r>
          </w:p>
        </w:tc>
      </w:tr>
      <w:tr w:rsidR="00412393" w:rsidRPr="008E4B65" w:rsidTr="00D6712C">
        <w:trPr>
          <w:trHeight w:val="300"/>
        </w:trPr>
        <w:tc>
          <w:tcPr>
            <w:tcW w:w="4410" w:type="dxa"/>
            <w:tcBorders>
              <w:top w:val="single" w:sz="4" w:space="0" w:color="000000"/>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Estates Services</w:t>
            </w:r>
          </w:p>
        </w:tc>
        <w:tc>
          <w:tcPr>
            <w:tcW w:w="1984" w:type="dxa"/>
            <w:tcBorders>
              <w:top w:val="single" w:sz="4" w:space="0" w:color="000000"/>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2,973.2</w:t>
            </w:r>
          </w:p>
        </w:tc>
        <w:tc>
          <w:tcPr>
            <w:tcW w:w="1985" w:type="dxa"/>
            <w:tcBorders>
              <w:top w:val="single" w:sz="4" w:space="0" w:color="000000"/>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3,193.0</w:t>
            </w:r>
          </w:p>
        </w:tc>
        <w:tc>
          <w:tcPr>
            <w:tcW w:w="1984" w:type="dxa"/>
            <w:tcBorders>
              <w:top w:val="single" w:sz="4" w:space="0" w:color="000000"/>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sidRPr="00412393">
              <w:rPr>
                <w:rFonts w:ascii="Calibri" w:hAnsi="Calibri"/>
                <w:color w:val="FF0000"/>
              </w:rPr>
              <w:t>(219.8)</w:t>
            </w:r>
          </w:p>
        </w:tc>
      </w:tr>
      <w:tr w:rsidR="00412393" w:rsidRPr="008E4B65" w:rsidTr="00D6712C">
        <w:trPr>
          <w:trHeight w:val="300"/>
        </w:trPr>
        <w:tc>
          <w:tcPr>
            <w:tcW w:w="441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Facilities Services</w:t>
            </w:r>
          </w:p>
        </w:tc>
        <w:tc>
          <w:tcPr>
            <w:tcW w:w="198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4,469.6</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4,618.3</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sidRPr="00412393">
              <w:rPr>
                <w:rFonts w:ascii="Calibri" w:hAnsi="Calibri"/>
                <w:color w:val="FF0000"/>
              </w:rPr>
              <w:t>(148.7)</w:t>
            </w:r>
          </w:p>
        </w:tc>
      </w:tr>
      <w:tr w:rsidR="00412393" w:rsidRPr="008E4B65" w:rsidTr="00D6712C">
        <w:trPr>
          <w:trHeight w:val="300"/>
        </w:trPr>
        <w:tc>
          <w:tcPr>
            <w:tcW w:w="441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Commercial Services</w:t>
            </w:r>
          </w:p>
        </w:tc>
        <w:tc>
          <w:tcPr>
            <w:tcW w:w="198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172.8</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202.2</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sidRPr="00412393">
              <w:rPr>
                <w:rFonts w:ascii="Calibri" w:hAnsi="Calibri"/>
                <w:color w:val="FF0000"/>
              </w:rPr>
              <w:t>(29.4)</w:t>
            </w:r>
          </w:p>
        </w:tc>
      </w:tr>
      <w:tr w:rsidR="00412393" w:rsidRPr="008E4B65" w:rsidTr="00D6712C">
        <w:trPr>
          <w:trHeight w:val="300"/>
        </w:trPr>
        <w:tc>
          <w:tcPr>
            <w:tcW w:w="441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Facilities Management</w:t>
            </w:r>
          </w:p>
        </w:tc>
        <w:tc>
          <w:tcPr>
            <w:tcW w:w="198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185.8</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183.3</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2.5</w:t>
            </w:r>
          </w:p>
        </w:tc>
      </w:tr>
      <w:tr w:rsidR="00412393" w:rsidRPr="008E4B65" w:rsidTr="00D6712C">
        <w:trPr>
          <w:trHeight w:val="300"/>
        </w:trPr>
        <w:tc>
          <w:tcPr>
            <w:tcW w:w="441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Compliance</w:t>
            </w:r>
          </w:p>
        </w:tc>
        <w:tc>
          <w:tcPr>
            <w:tcW w:w="198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139.1</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132.7</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6.4</w:t>
            </w:r>
          </w:p>
        </w:tc>
      </w:tr>
      <w:tr w:rsidR="00412393" w:rsidRPr="008E4B65" w:rsidTr="00D6712C">
        <w:trPr>
          <w:trHeight w:val="300"/>
        </w:trPr>
        <w:tc>
          <w:tcPr>
            <w:tcW w:w="4410"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8E4B65" w:rsidRDefault="00412393" w:rsidP="008E4B65">
            <w:pPr>
              <w:jc w:val="left"/>
              <w:rPr>
                <w:rFonts w:ascii="Calibri" w:eastAsia="Times New Roman" w:hAnsi="Calibri" w:cs="Times New Roman"/>
                <w:b/>
                <w:bCs/>
                <w:color w:val="000000"/>
                <w:lang w:eastAsia="en-GB"/>
              </w:rPr>
            </w:pPr>
            <w:r w:rsidRPr="008E4B65">
              <w:rPr>
                <w:rFonts w:ascii="Calibri" w:eastAsia="Times New Roman" w:hAnsi="Calibri" w:cs="Times New Roman"/>
                <w:b/>
                <w:bCs/>
                <w:color w:val="000000"/>
                <w:lang w:eastAsia="en-GB"/>
              </w:rPr>
              <w:t>Total</w:t>
            </w:r>
          </w:p>
        </w:tc>
        <w:tc>
          <w:tcPr>
            <w:tcW w:w="1984"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7,940.5</w:t>
            </w:r>
          </w:p>
        </w:tc>
        <w:tc>
          <w:tcPr>
            <w:tcW w:w="1985" w:type="dxa"/>
            <w:tcBorders>
              <w:top w:val="single" w:sz="4" w:space="0" w:color="000000"/>
              <w:left w:val="nil"/>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8,329.6</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FF0000"/>
              </w:rPr>
              <w:t>(389.1)</w:t>
            </w:r>
          </w:p>
        </w:tc>
      </w:tr>
    </w:tbl>
    <w:p w:rsidR="008E4B65" w:rsidRDefault="008E4B65" w:rsidP="008E4B65">
      <w:pPr>
        <w:spacing w:line="276" w:lineRule="auto"/>
        <w:jc w:val="left"/>
        <w:rPr>
          <w:sz w:val="24"/>
          <w:szCs w:val="24"/>
        </w:rPr>
      </w:pPr>
    </w:p>
    <w:p w:rsidR="008E4B65" w:rsidRDefault="008E4B65" w:rsidP="008E4B65">
      <w:pPr>
        <w:spacing w:line="276" w:lineRule="auto"/>
        <w:jc w:val="left"/>
        <w:rPr>
          <w:sz w:val="24"/>
          <w:szCs w:val="24"/>
        </w:rPr>
      </w:pPr>
      <w:r>
        <w:rPr>
          <w:sz w:val="24"/>
          <w:szCs w:val="24"/>
        </w:rPr>
        <w:t>The equivalent expenditure category breakdown is as follows:</w:t>
      </w:r>
    </w:p>
    <w:p w:rsidR="008E4B65" w:rsidRDefault="008E4B65" w:rsidP="008E4B65">
      <w:pPr>
        <w:spacing w:line="276" w:lineRule="auto"/>
        <w:jc w:val="left"/>
        <w:rPr>
          <w:sz w:val="24"/>
          <w:szCs w:val="24"/>
        </w:rPr>
      </w:pPr>
    </w:p>
    <w:tbl>
      <w:tblPr>
        <w:tblW w:w="10363" w:type="dxa"/>
        <w:tblInd w:w="93" w:type="dxa"/>
        <w:tblLook w:val="04A0" w:firstRow="1" w:lastRow="0" w:firstColumn="1" w:lastColumn="0" w:noHBand="0" w:noVBand="1"/>
      </w:tblPr>
      <w:tblGrid>
        <w:gridCol w:w="4420"/>
        <w:gridCol w:w="1974"/>
        <w:gridCol w:w="1985"/>
        <w:gridCol w:w="1984"/>
      </w:tblGrid>
      <w:tr w:rsidR="008E4B65" w:rsidRPr="008E4B65" w:rsidTr="00D6712C">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8E4B65" w:rsidRPr="008E4B65" w:rsidRDefault="00D6712C" w:rsidP="008E4B65">
            <w:pPr>
              <w:jc w:val="left"/>
              <w:rPr>
                <w:rFonts w:ascii="Calibri" w:eastAsia="Times New Roman" w:hAnsi="Calibri" w:cs="Times New Roman"/>
                <w:b/>
                <w:color w:val="000000"/>
                <w:lang w:eastAsia="en-GB"/>
              </w:rPr>
            </w:pPr>
            <w:r w:rsidRPr="00D6712C">
              <w:rPr>
                <w:rFonts w:ascii="Calibri" w:eastAsia="Times New Roman" w:hAnsi="Calibri" w:cs="Times New Roman"/>
                <w:b/>
                <w:color w:val="000000"/>
                <w:lang w:eastAsia="en-GB"/>
              </w:rPr>
              <w:t>Expenditure Category</w:t>
            </w:r>
          </w:p>
        </w:tc>
        <w:tc>
          <w:tcPr>
            <w:tcW w:w="1974" w:type="dxa"/>
            <w:tcBorders>
              <w:top w:val="single" w:sz="4" w:space="0" w:color="000000"/>
              <w:left w:val="single" w:sz="4" w:space="0" w:color="000000"/>
              <w:bottom w:val="nil"/>
              <w:right w:val="nil"/>
            </w:tcBorders>
            <w:shd w:val="clear" w:color="auto" w:fill="auto"/>
            <w:noWrap/>
            <w:vAlign w:val="bottom"/>
            <w:hideMark/>
          </w:tcPr>
          <w:p w:rsidR="008E4B65" w:rsidRPr="008E4B65" w:rsidRDefault="00D6712C" w:rsidP="00D6712C">
            <w:pPr>
              <w:jc w:val="center"/>
              <w:rPr>
                <w:rFonts w:ascii="Calibri" w:eastAsia="Times New Roman" w:hAnsi="Calibri" w:cs="Times New Roman"/>
                <w:b/>
                <w:color w:val="000000"/>
                <w:lang w:eastAsia="en-GB"/>
              </w:rPr>
            </w:pPr>
            <w:r w:rsidRPr="00D6712C">
              <w:rPr>
                <w:rFonts w:ascii="Calibri" w:eastAsia="Times New Roman" w:hAnsi="Calibri" w:cs="Times New Roman"/>
                <w:b/>
                <w:color w:val="000000"/>
                <w:lang w:eastAsia="en-GB"/>
              </w:rPr>
              <w:t>YTD</w:t>
            </w:r>
            <w:r w:rsidR="008E4B65" w:rsidRPr="008E4B65">
              <w:rPr>
                <w:rFonts w:ascii="Calibri" w:eastAsia="Times New Roman" w:hAnsi="Calibri" w:cs="Times New Roman"/>
                <w:b/>
                <w:color w:val="000000"/>
                <w:lang w:eastAsia="en-GB"/>
              </w:rPr>
              <w:t xml:space="preserve"> Budget £000s</w:t>
            </w:r>
          </w:p>
        </w:tc>
        <w:tc>
          <w:tcPr>
            <w:tcW w:w="1985" w:type="dxa"/>
            <w:tcBorders>
              <w:top w:val="single" w:sz="4" w:space="0" w:color="000000"/>
              <w:left w:val="nil"/>
              <w:bottom w:val="nil"/>
              <w:right w:val="nil"/>
            </w:tcBorders>
            <w:shd w:val="clear" w:color="auto" w:fill="auto"/>
            <w:noWrap/>
            <w:vAlign w:val="bottom"/>
            <w:hideMark/>
          </w:tcPr>
          <w:p w:rsidR="008E4B65" w:rsidRPr="008E4B65" w:rsidRDefault="00D6712C" w:rsidP="00D6712C">
            <w:pPr>
              <w:jc w:val="center"/>
              <w:rPr>
                <w:rFonts w:ascii="Calibri" w:eastAsia="Times New Roman" w:hAnsi="Calibri" w:cs="Times New Roman"/>
                <w:b/>
                <w:color w:val="000000"/>
                <w:lang w:eastAsia="en-GB"/>
              </w:rPr>
            </w:pPr>
            <w:r w:rsidRPr="00D6712C">
              <w:rPr>
                <w:rFonts w:ascii="Calibri" w:eastAsia="Times New Roman" w:hAnsi="Calibri" w:cs="Times New Roman"/>
                <w:b/>
                <w:color w:val="000000"/>
                <w:lang w:eastAsia="en-GB"/>
              </w:rPr>
              <w:t>YTD</w:t>
            </w:r>
            <w:r w:rsidR="008E4B65" w:rsidRPr="008E4B65">
              <w:rPr>
                <w:rFonts w:ascii="Calibri" w:eastAsia="Times New Roman" w:hAnsi="Calibri" w:cs="Times New Roman"/>
                <w:b/>
                <w:color w:val="000000"/>
                <w:lang w:eastAsia="en-GB"/>
              </w:rPr>
              <w:t xml:space="preserve"> Actual £000s</w:t>
            </w:r>
          </w:p>
        </w:tc>
        <w:tc>
          <w:tcPr>
            <w:tcW w:w="1984" w:type="dxa"/>
            <w:tcBorders>
              <w:top w:val="single" w:sz="4" w:space="0" w:color="000000"/>
              <w:left w:val="nil"/>
              <w:bottom w:val="nil"/>
              <w:right w:val="single" w:sz="4" w:space="0" w:color="000000"/>
            </w:tcBorders>
            <w:shd w:val="clear" w:color="auto" w:fill="auto"/>
            <w:noWrap/>
            <w:vAlign w:val="bottom"/>
            <w:hideMark/>
          </w:tcPr>
          <w:p w:rsidR="008E4B65" w:rsidRPr="008E4B65" w:rsidRDefault="00D6712C" w:rsidP="00D6712C">
            <w:pPr>
              <w:jc w:val="center"/>
              <w:rPr>
                <w:rFonts w:ascii="Calibri" w:eastAsia="Times New Roman" w:hAnsi="Calibri" w:cs="Times New Roman"/>
                <w:b/>
                <w:color w:val="000000"/>
                <w:lang w:eastAsia="en-GB"/>
              </w:rPr>
            </w:pPr>
            <w:r w:rsidRPr="00D6712C">
              <w:rPr>
                <w:rFonts w:ascii="Calibri" w:eastAsia="Times New Roman" w:hAnsi="Calibri" w:cs="Times New Roman"/>
                <w:b/>
                <w:color w:val="000000"/>
                <w:lang w:eastAsia="en-GB"/>
              </w:rPr>
              <w:t>Variance £000s</w:t>
            </w:r>
          </w:p>
        </w:tc>
      </w:tr>
      <w:tr w:rsidR="00412393" w:rsidRPr="008E4B65" w:rsidTr="00D6712C">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Premises and Fixed Plant</w:t>
            </w:r>
          </w:p>
        </w:tc>
        <w:tc>
          <w:tcPr>
            <w:tcW w:w="1974" w:type="dxa"/>
            <w:tcBorders>
              <w:top w:val="single" w:sz="4" w:space="0" w:color="000000"/>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3,338.0</w:t>
            </w:r>
          </w:p>
        </w:tc>
        <w:tc>
          <w:tcPr>
            <w:tcW w:w="1985" w:type="dxa"/>
            <w:tcBorders>
              <w:top w:val="single" w:sz="4" w:space="0" w:color="000000"/>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3,623.9</w:t>
            </w:r>
          </w:p>
        </w:tc>
        <w:tc>
          <w:tcPr>
            <w:tcW w:w="1984" w:type="dxa"/>
            <w:tcBorders>
              <w:top w:val="single" w:sz="4" w:space="0" w:color="000000"/>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285.9</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Support Staff</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3,458.4</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3,550.4</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92.0</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Car Parking Income</w:t>
            </w:r>
          </w:p>
        </w:tc>
        <w:tc>
          <w:tcPr>
            <w:tcW w:w="1974"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765.5</w:t>
            </w:r>
            <w:r w:rsidRPr="00910118">
              <w:rPr>
                <w:rFonts w:ascii="Calibri" w:hAnsi="Calibri"/>
                <w:color w:val="FF0000"/>
              </w:rPr>
              <w:t>)</w:t>
            </w:r>
          </w:p>
        </w:tc>
        <w:tc>
          <w:tcPr>
            <w:tcW w:w="1985"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699.4</w:t>
            </w:r>
            <w:r w:rsidRPr="00910118">
              <w:rPr>
                <w:rFonts w:ascii="Calibri" w:hAnsi="Calibri"/>
                <w:color w:val="FF0000"/>
              </w:rPr>
              <w:t>)</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66.1</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Establishment Expenses</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392.3</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411.9</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19.6</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Miscellaneous Expenditure</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38.8</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53.8</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15.0</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Other Income</w:t>
            </w:r>
          </w:p>
        </w:tc>
        <w:tc>
          <w:tcPr>
            <w:tcW w:w="1974"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26.7</w:t>
            </w:r>
            <w:r w:rsidRPr="00910118">
              <w:rPr>
                <w:rFonts w:ascii="Calibri" w:hAnsi="Calibri"/>
                <w:color w:val="FF0000"/>
              </w:rPr>
              <w:t>)</w:t>
            </w:r>
          </w:p>
        </w:tc>
        <w:tc>
          <w:tcPr>
            <w:tcW w:w="1985"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16.1</w:t>
            </w:r>
            <w:r w:rsidRPr="00910118">
              <w:rPr>
                <w:rFonts w:ascii="Calibri" w:hAnsi="Calibri"/>
                <w:color w:val="FF0000"/>
              </w:rPr>
              <w:t>)</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10.6</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Scientific, Therapeutic &amp; Technical Staff</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181.2</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182.5</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1.3</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Non Patient Care Contracts &amp; Agreements</w:t>
            </w:r>
          </w:p>
        </w:tc>
        <w:tc>
          <w:tcPr>
            <w:tcW w:w="1974"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15.6</w:t>
            </w:r>
            <w:r w:rsidRPr="00910118">
              <w:rPr>
                <w:rFonts w:ascii="Calibri" w:hAnsi="Calibri"/>
                <w:color w:val="FF0000"/>
              </w:rPr>
              <w:t>)</w:t>
            </w:r>
          </w:p>
        </w:tc>
        <w:tc>
          <w:tcPr>
            <w:tcW w:w="1985"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15.4</w:t>
            </w:r>
            <w:r w:rsidRPr="00910118">
              <w:rPr>
                <w:rFonts w:ascii="Calibri" w:hAnsi="Calibri"/>
                <w:color w:val="FF0000"/>
              </w:rPr>
              <w:t>)</w:t>
            </w:r>
          </w:p>
        </w:tc>
        <w:tc>
          <w:tcPr>
            <w:tcW w:w="1984" w:type="dxa"/>
            <w:tcBorders>
              <w:top w:val="nil"/>
              <w:left w:val="nil"/>
              <w:bottom w:val="nil"/>
              <w:right w:val="single" w:sz="4" w:space="0" w:color="000000"/>
            </w:tcBorders>
            <w:shd w:val="clear" w:color="auto" w:fill="auto"/>
            <w:noWrap/>
            <w:vAlign w:val="bottom"/>
            <w:hideMark/>
          </w:tcPr>
          <w:p w:rsidR="00412393" w:rsidRPr="00412393" w:rsidRDefault="00412393">
            <w:pPr>
              <w:jc w:val="right"/>
              <w:rPr>
                <w:rFonts w:ascii="Calibri" w:hAnsi="Calibri"/>
                <w:color w:val="FF0000"/>
              </w:rPr>
            </w:pPr>
            <w:r>
              <w:rPr>
                <w:rFonts w:ascii="Calibri" w:hAnsi="Calibri"/>
                <w:color w:val="FF0000"/>
              </w:rPr>
              <w:t>(</w:t>
            </w:r>
            <w:r w:rsidRPr="00412393">
              <w:rPr>
                <w:rFonts w:ascii="Calibri" w:hAnsi="Calibri"/>
                <w:color w:val="FF0000"/>
              </w:rPr>
              <w:t>0.3</w:t>
            </w:r>
            <w:r>
              <w:rPr>
                <w:rFonts w:ascii="Calibri" w:hAnsi="Calibri"/>
                <w:color w:val="FF0000"/>
              </w:rPr>
              <w:t>)</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Other Establishment Costs</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0.9</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0.6</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0.3</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Purchase of Healthcare Services</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10.2</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9.8</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0.4</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Clinical Supplies &amp; Services</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1.6</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0.6</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0.9</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Education Expenditure</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9.4</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7.7</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1.7</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Catering Income</w:t>
            </w:r>
          </w:p>
        </w:tc>
        <w:tc>
          <w:tcPr>
            <w:tcW w:w="1974"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7.7</w:t>
            </w:r>
            <w:r w:rsidRPr="00910118">
              <w:rPr>
                <w:rFonts w:ascii="Calibri" w:hAnsi="Calibri"/>
                <w:color w:val="FF0000"/>
              </w:rPr>
              <w:t>)</w:t>
            </w:r>
          </w:p>
        </w:tc>
        <w:tc>
          <w:tcPr>
            <w:tcW w:w="1985"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10.2</w:t>
            </w:r>
            <w:r w:rsidRPr="00910118">
              <w:rPr>
                <w:rFonts w:ascii="Calibri" w:hAnsi="Calibri"/>
                <w:color w:val="FF0000"/>
              </w:rPr>
              <w:t>)</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2.5</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Rental Income</w:t>
            </w:r>
          </w:p>
        </w:tc>
        <w:tc>
          <w:tcPr>
            <w:tcW w:w="1974" w:type="dxa"/>
            <w:tcBorders>
              <w:top w:val="nil"/>
              <w:left w:val="single" w:sz="4" w:space="0" w:color="000000"/>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550.9</w:t>
            </w:r>
            <w:r w:rsidRPr="00910118">
              <w:rPr>
                <w:rFonts w:ascii="Calibri" w:hAnsi="Calibri"/>
                <w:color w:val="FF0000"/>
              </w:rPr>
              <w:t>)</w:t>
            </w:r>
          </w:p>
        </w:tc>
        <w:tc>
          <w:tcPr>
            <w:tcW w:w="1985" w:type="dxa"/>
            <w:tcBorders>
              <w:top w:val="nil"/>
              <w:left w:val="nil"/>
              <w:bottom w:val="nil"/>
              <w:right w:val="nil"/>
            </w:tcBorders>
            <w:shd w:val="clear" w:color="auto" w:fill="auto"/>
            <w:noWrap/>
            <w:vAlign w:val="bottom"/>
            <w:hideMark/>
          </w:tcPr>
          <w:p w:rsidR="00412393" w:rsidRPr="00910118" w:rsidRDefault="00910118">
            <w:pPr>
              <w:jc w:val="right"/>
              <w:rPr>
                <w:rFonts w:ascii="Calibri" w:hAnsi="Calibri"/>
                <w:color w:val="FF0000"/>
              </w:rPr>
            </w:pPr>
            <w:r w:rsidRPr="00910118">
              <w:rPr>
                <w:rFonts w:ascii="Calibri" w:hAnsi="Calibri"/>
                <w:color w:val="FF0000"/>
              </w:rPr>
              <w:t>(</w:t>
            </w:r>
            <w:r w:rsidR="00412393" w:rsidRPr="00910118">
              <w:rPr>
                <w:rFonts w:ascii="Calibri" w:hAnsi="Calibri"/>
                <w:color w:val="FF0000"/>
              </w:rPr>
              <w:t>557.9</w:t>
            </w:r>
            <w:r w:rsidRPr="00910118">
              <w:rPr>
                <w:rFonts w:ascii="Calibri" w:hAnsi="Calibri"/>
                <w:color w:val="FF0000"/>
              </w:rPr>
              <w:t>)</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7.0</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Admin &amp; Clerical Staff</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498.7</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487.1</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11.7</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General Supplies &amp; Services</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912.6</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894.1</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18.5</w:t>
            </w:r>
          </w:p>
        </w:tc>
      </w:tr>
      <w:tr w:rsidR="00412393" w:rsidRPr="008E4B65" w:rsidTr="00D6712C">
        <w:trPr>
          <w:trHeight w:val="300"/>
        </w:trPr>
        <w:tc>
          <w:tcPr>
            <w:tcW w:w="4420" w:type="dxa"/>
            <w:tcBorders>
              <w:top w:val="nil"/>
              <w:left w:val="single" w:sz="4" w:space="0" w:color="000000"/>
              <w:bottom w:val="nil"/>
              <w:right w:val="nil"/>
            </w:tcBorders>
            <w:shd w:val="clear" w:color="auto" w:fill="auto"/>
            <w:noWrap/>
            <w:vAlign w:val="bottom"/>
            <w:hideMark/>
          </w:tcPr>
          <w:p w:rsidR="00412393" w:rsidRDefault="00412393">
            <w:pPr>
              <w:rPr>
                <w:rFonts w:ascii="Calibri" w:hAnsi="Calibri"/>
                <w:color w:val="000000"/>
              </w:rPr>
            </w:pPr>
            <w:r>
              <w:rPr>
                <w:rFonts w:ascii="Calibri" w:hAnsi="Calibri"/>
                <w:color w:val="000000"/>
              </w:rPr>
              <w:t>Maintenance Staff</w:t>
            </w:r>
          </w:p>
        </w:tc>
        <w:tc>
          <w:tcPr>
            <w:tcW w:w="1974" w:type="dxa"/>
            <w:tcBorders>
              <w:top w:val="nil"/>
              <w:left w:val="single" w:sz="4" w:space="0" w:color="000000"/>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464.9</w:t>
            </w:r>
          </w:p>
        </w:tc>
        <w:tc>
          <w:tcPr>
            <w:tcW w:w="1985" w:type="dxa"/>
            <w:tcBorders>
              <w:top w:val="nil"/>
              <w:left w:val="nil"/>
              <w:bottom w:val="nil"/>
              <w:right w:val="nil"/>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406.1</w:t>
            </w:r>
          </w:p>
        </w:tc>
        <w:tc>
          <w:tcPr>
            <w:tcW w:w="1984" w:type="dxa"/>
            <w:tcBorders>
              <w:top w:val="nil"/>
              <w:left w:val="nil"/>
              <w:bottom w:val="nil"/>
              <w:right w:val="single" w:sz="4" w:space="0" w:color="000000"/>
            </w:tcBorders>
            <w:shd w:val="clear" w:color="auto" w:fill="auto"/>
            <w:noWrap/>
            <w:vAlign w:val="bottom"/>
            <w:hideMark/>
          </w:tcPr>
          <w:p w:rsidR="00412393" w:rsidRDefault="00412393">
            <w:pPr>
              <w:jc w:val="right"/>
              <w:rPr>
                <w:rFonts w:ascii="Calibri" w:hAnsi="Calibri"/>
                <w:color w:val="000000"/>
              </w:rPr>
            </w:pPr>
            <w:r>
              <w:rPr>
                <w:rFonts w:ascii="Calibri" w:hAnsi="Calibri"/>
                <w:color w:val="000000"/>
              </w:rPr>
              <w:t>58.8</w:t>
            </w:r>
          </w:p>
        </w:tc>
      </w:tr>
      <w:tr w:rsidR="00412393" w:rsidRPr="008E4B65" w:rsidTr="00D6712C">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8E4B65" w:rsidRDefault="00412393" w:rsidP="008E4B65">
            <w:pPr>
              <w:jc w:val="left"/>
              <w:rPr>
                <w:rFonts w:ascii="Calibri" w:eastAsia="Times New Roman" w:hAnsi="Calibri" w:cs="Times New Roman"/>
                <w:b/>
                <w:bCs/>
                <w:color w:val="000000"/>
                <w:lang w:eastAsia="en-GB"/>
              </w:rPr>
            </w:pPr>
            <w:r w:rsidRPr="008E4B65">
              <w:rPr>
                <w:rFonts w:ascii="Calibri" w:eastAsia="Times New Roman" w:hAnsi="Calibri" w:cs="Times New Roman"/>
                <w:b/>
                <w:bCs/>
                <w:color w:val="000000"/>
                <w:lang w:eastAsia="en-GB"/>
              </w:rPr>
              <w:t>Total</w:t>
            </w:r>
          </w:p>
        </w:tc>
        <w:tc>
          <w:tcPr>
            <w:tcW w:w="1974" w:type="dxa"/>
            <w:tcBorders>
              <w:top w:val="single" w:sz="4" w:space="0" w:color="000000"/>
              <w:left w:val="single" w:sz="4" w:space="0" w:color="000000"/>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7,940.5</w:t>
            </w:r>
          </w:p>
        </w:tc>
        <w:tc>
          <w:tcPr>
            <w:tcW w:w="1985" w:type="dxa"/>
            <w:tcBorders>
              <w:top w:val="single" w:sz="4" w:space="0" w:color="000000"/>
              <w:left w:val="nil"/>
              <w:bottom w:val="single" w:sz="4" w:space="0" w:color="000000"/>
              <w:right w:val="nil"/>
            </w:tcBorders>
            <w:shd w:val="clear" w:color="auto" w:fill="auto"/>
            <w:noWrap/>
            <w:vAlign w:val="bottom"/>
            <w:hideMark/>
          </w:tcPr>
          <w:p w:rsidR="00412393" w:rsidRPr="00412393" w:rsidRDefault="00412393">
            <w:pPr>
              <w:jc w:val="right"/>
              <w:rPr>
                <w:rFonts w:ascii="Calibri" w:hAnsi="Calibri"/>
                <w:b/>
                <w:color w:val="000000"/>
              </w:rPr>
            </w:pPr>
            <w:r w:rsidRPr="00412393">
              <w:rPr>
                <w:rFonts w:ascii="Calibri" w:hAnsi="Calibri"/>
                <w:b/>
                <w:color w:val="000000"/>
              </w:rPr>
              <w:t>8,329.6</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412393" w:rsidRDefault="00412393">
            <w:pPr>
              <w:jc w:val="right"/>
              <w:rPr>
                <w:rFonts w:ascii="Calibri" w:hAnsi="Calibri"/>
                <w:color w:val="000000"/>
              </w:rPr>
            </w:pPr>
            <w:r w:rsidRPr="00412393">
              <w:rPr>
                <w:rFonts w:ascii="Calibri" w:hAnsi="Calibri"/>
                <w:color w:val="FF0000"/>
              </w:rPr>
              <w:t>(</w:t>
            </w:r>
            <w:r w:rsidRPr="00412393">
              <w:rPr>
                <w:rFonts w:ascii="Calibri" w:hAnsi="Calibri"/>
                <w:b/>
                <w:color w:val="FF0000"/>
              </w:rPr>
              <w:t>389.1</w:t>
            </w:r>
            <w:r>
              <w:rPr>
                <w:rFonts w:ascii="Calibri" w:hAnsi="Calibri"/>
                <w:b/>
                <w:color w:val="FF0000"/>
              </w:rPr>
              <w:t>)</w:t>
            </w:r>
          </w:p>
        </w:tc>
      </w:tr>
    </w:tbl>
    <w:p w:rsidR="00D6712C" w:rsidRDefault="00D6712C" w:rsidP="001A2F20">
      <w:pPr>
        <w:jc w:val="left"/>
        <w:rPr>
          <w:sz w:val="24"/>
          <w:szCs w:val="24"/>
        </w:rPr>
      </w:pPr>
    </w:p>
    <w:p w:rsidR="00D6712C" w:rsidRPr="002D3731" w:rsidRDefault="00D6712C" w:rsidP="001A2F20">
      <w:pPr>
        <w:jc w:val="left"/>
        <w:rPr>
          <w:sz w:val="24"/>
          <w:szCs w:val="24"/>
        </w:rPr>
      </w:pPr>
      <w:r w:rsidRPr="002D3731">
        <w:rPr>
          <w:sz w:val="24"/>
          <w:szCs w:val="24"/>
        </w:rPr>
        <w:t>Material variances:</w:t>
      </w:r>
    </w:p>
    <w:p w:rsidR="00D6712C" w:rsidRPr="002D3731" w:rsidRDefault="00D6712C" w:rsidP="001A2F20">
      <w:pPr>
        <w:jc w:val="left"/>
        <w:rPr>
          <w:sz w:val="24"/>
          <w:szCs w:val="24"/>
        </w:rPr>
      </w:pPr>
    </w:p>
    <w:p w:rsidR="00D6712C" w:rsidRPr="002D3731" w:rsidRDefault="00D6712C" w:rsidP="001A2F20">
      <w:pPr>
        <w:pStyle w:val="ListParagraph"/>
        <w:numPr>
          <w:ilvl w:val="0"/>
          <w:numId w:val="28"/>
        </w:numPr>
        <w:ind w:left="714" w:hanging="357"/>
        <w:jc w:val="left"/>
        <w:rPr>
          <w:sz w:val="24"/>
          <w:szCs w:val="24"/>
        </w:rPr>
      </w:pPr>
      <w:r w:rsidRPr="002D3731">
        <w:rPr>
          <w:sz w:val="24"/>
          <w:szCs w:val="24"/>
        </w:rPr>
        <w:t>Car Parking Income (shortfall/Northside permits):</w:t>
      </w:r>
      <w:r w:rsidRPr="002D3731">
        <w:rPr>
          <w:sz w:val="24"/>
          <w:szCs w:val="24"/>
        </w:rPr>
        <w:tab/>
      </w:r>
      <w:r w:rsidRPr="002D3731">
        <w:rPr>
          <w:sz w:val="24"/>
          <w:szCs w:val="24"/>
        </w:rPr>
        <w:tab/>
      </w:r>
      <w:r w:rsidRPr="002D3731">
        <w:rPr>
          <w:sz w:val="24"/>
          <w:szCs w:val="24"/>
        </w:rPr>
        <w:tab/>
        <w:t>£6</w:t>
      </w:r>
      <w:r w:rsidR="002D3731" w:rsidRPr="002D3731">
        <w:rPr>
          <w:sz w:val="24"/>
          <w:szCs w:val="24"/>
        </w:rPr>
        <w:t>6</w:t>
      </w:r>
      <w:r w:rsidRPr="002D3731">
        <w:rPr>
          <w:sz w:val="24"/>
          <w:szCs w:val="24"/>
        </w:rPr>
        <w:t>k;</w:t>
      </w:r>
    </w:p>
    <w:p w:rsidR="00D6712C" w:rsidRPr="002D3731" w:rsidRDefault="002D3731" w:rsidP="001A2F20">
      <w:pPr>
        <w:pStyle w:val="ListParagraph"/>
        <w:numPr>
          <w:ilvl w:val="0"/>
          <w:numId w:val="28"/>
        </w:numPr>
        <w:ind w:left="714" w:hanging="357"/>
        <w:jc w:val="left"/>
        <w:rPr>
          <w:sz w:val="24"/>
          <w:szCs w:val="24"/>
        </w:rPr>
      </w:pPr>
      <w:r w:rsidRPr="002D3731">
        <w:rPr>
          <w:sz w:val="24"/>
          <w:szCs w:val="24"/>
        </w:rPr>
        <w:t>R</w:t>
      </w:r>
      <w:r w:rsidR="00D6712C" w:rsidRPr="002D3731">
        <w:rPr>
          <w:sz w:val="24"/>
          <w:szCs w:val="24"/>
        </w:rPr>
        <w:t>ent recharges</w:t>
      </w:r>
      <w:r w:rsidRPr="002D3731">
        <w:rPr>
          <w:sz w:val="24"/>
          <w:szCs w:val="24"/>
        </w:rPr>
        <w:tab/>
      </w:r>
      <w:r w:rsidRPr="002D3731">
        <w:rPr>
          <w:sz w:val="24"/>
          <w:szCs w:val="24"/>
        </w:rPr>
        <w:tab/>
      </w:r>
      <w:r w:rsidRPr="002D3731">
        <w:rPr>
          <w:sz w:val="24"/>
          <w:szCs w:val="24"/>
        </w:rPr>
        <w:tab/>
      </w:r>
      <w:r w:rsidR="00D6712C" w:rsidRPr="002D3731">
        <w:rPr>
          <w:sz w:val="24"/>
          <w:szCs w:val="24"/>
        </w:rPr>
        <w:tab/>
      </w:r>
      <w:r w:rsidR="00D6712C" w:rsidRPr="002D3731">
        <w:rPr>
          <w:sz w:val="24"/>
          <w:szCs w:val="24"/>
        </w:rPr>
        <w:tab/>
      </w:r>
      <w:r w:rsidR="00D6712C" w:rsidRPr="002D3731">
        <w:rPr>
          <w:sz w:val="24"/>
          <w:szCs w:val="24"/>
        </w:rPr>
        <w:tab/>
      </w:r>
      <w:r w:rsidR="00D6712C" w:rsidRPr="002D3731">
        <w:rPr>
          <w:sz w:val="24"/>
          <w:szCs w:val="24"/>
        </w:rPr>
        <w:tab/>
      </w:r>
      <w:r w:rsidR="00D6712C" w:rsidRPr="002D3731">
        <w:rPr>
          <w:sz w:val="24"/>
          <w:szCs w:val="24"/>
        </w:rPr>
        <w:tab/>
        <w:t>£</w:t>
      </w:r>
      <w:r w:rsidRPr="002D3731">
        <w:rPr>
          <w:sz w:val="24"/>
          <w:szCs w:val="24"/>
        </w:rPr>
        <w:t>49</w:t>
      </w:r>
      <w:r w:rsidR="00D6712C" w:rsidRPr="002D3731">
        <w:rPr>
          <w:sz w:val="24"/>
          <w:szCs w:val="24"/>
        </w:rPr>
        <w:t>k;</w:t>
      </w:r>
    </w:p>
    <w:p w:rsidR="00D6712C" w:rsidRPr="00910118" w:rsidRDefault="00D6712C" w:rsidP="001A2F20">
      <w:pPr>
        <w:pStyle w:val="ListParagraph"/>
        <w:numPr>
          <w:ilvl w:val="0"/>
          <w:numId w:val="28"/>
        </w:numPr>
        <w:ind w:left="714" w:hanging="357"/>
        <w:jc w:val="left"/>
        <w:rPr>
          <w:color w:val="FF0000"/>
          <w:sz w:val="24"/>
          <w:szCs w:val="24"/>
        </w:rPr>
      </w:pPr>
      <w:r w:rsidRPr="002D3731">
        <w:rPr>
          <w:sz w:val="24"/>
          <w:szCs w:val="24"/>
        </w:rPr>
        <w:t>Support Staff (HSA costs)</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w:t>
      </w:r>
      <w:r w:rsidR="002D3731" w:rsidRPr="002D3731">
        <w:rPr>
          <w:sz w:val="24"/>
          <w:szCs w:val="24"/>
        </w:rPr>
        <w:t>92</w:t>
      </w:r>
      <w:r w:rsidRPr="002D3731">
        <w:rPr>
          <w:sz w:val="24"/>
          <w:szCs w:val="24"/>
        </w:rPr>
        <w:t>k;</w:t>
      </w:r>
    </w:p>
    <w:p w:rsidR="00D6712C" w:rsidRPr="00A37D52" w:rsidRDefault="00D6712C" w:rsidP="001A2F20">
      <w:pPr>
        <w:pStyle w:val="ListParagraph"/>
        <w:numPr>
          <w:ilvl w:val="0"/>
          <w:numId w:val="28"/>
        </w:numPr>
        <w:ind w:left="714" w:hanging="357"/>
        <w:jc w:val="left"/>
        <w:rPr>
          <w:sz w:val="24"/>
          <w:szCs w:val="24"/>
        </w:rPr>
      </w:pPr>
      <w:r w:rsidRPr="00A37D52">
        <w:rPr>
          <w:sz w:val="24"/>
          <w:szCs w:val="24"/>
        </w:rPr>
        <w:t>Utilities:</w:t>
      </w:r>
      <w:r w:rsidRPr="00A37D52">
        <w:rPr>
          <w:sz w:val="24"/>
          <w:szCs w:val="24"/>
        </w:rPr>
        <w:tab/>
      </w:r>
      <w:r w:rsidRPr="00A37D52">
        <w:rPr>
          <w:sz w:val="24"/>
          <w:szCs w:val="24"/>
        </w:rPr>
        <w:tab/>
      </w:r>
      <w:r w:rsidRPr="00A37D52">
        <w:rPr>
          <w:sz w:val="24"/>
          <w:szCs w:val="24"/>
        </w:rPr>
        <w:tab/>
      </w:r>
      <w:r w:rsidRPr="00A37D52">
        <w:rPr>
          <w:sz w:val="24"/>
          <w:szCs w:val="24"/>
        </w:rPr>
        <w:tab/>
      </w:r>
      <w:r w:rsidRPr="00A37D52">
        <w:rPr>
          <w:sz w:val="24"/>
          <w:szCs w:val="24"/>
        </w:rPr>
        <w:tab/>
      </w:r>
      <w:r w:rsidRPr="00A37D52">
        <w:rPr>
          <w:sz w:val="24"/>
          <w:szCs w:val="24"/>
        </w:rPr>
        <w:tab/>
      </w:r>
      <w:r w:rsidRPr="00A37D52">
        <w:rPr>
          <w:sz w:val="24"/>
          <w:szCs w:val="24"/>
        </w:rPr>
        <w:tab/>
      </w:r>
      <w:r w:rsidRPr="00A37D52">
        <w:rPr>
          <w:sz w:val="24"/>
          <w:szCs w:val="24"/>
        </w:rPr>
        <w:tab/>
      </w:r>
      <w:r w:rsidRPr="00A37D52">
        <w:rPr>
          <w:sz w:val="24"/>
          <w:szCs w:val="24"/>
        </w:rPr>
        <w:tab/>
        <w:t>£</w:t>
      </w:r>
      <w:r w:rsidR="002D3731">
        <w:rPr>
          <w:sz w:val="24"/>
          <w:szCs w:val="24"/>
        </w:rPr>
        <w:t>94</w:t>
      </w:r>
      <w:r w:rsidRPr="00A37D52">
        <w:rPr>
          <w:sz w:val="24"/>
          <w:szCs w:val="24"/>
        </w:rPr>
        <w:t>k;</w:t>
      </w:r>
    </w:p>
    <w:p w:rsidR="002D3731" w:rsidRPr="00A37D52" w:rsidRDefault="002D3731" w:rsidP="001A2F20">
      <w:pPr>
        <w:pStyle w:val="ListParagraph"/>
        <w:numPr>
          <w:ilvl w:val="0"/>
          <w:numId w:val="28"/>
        </w:numPr>
        <w:ind w:left="714" w:hanging="357"/>
        <w:jc w:val="left"/>
        <w:rPr>
          <w:sz w:val="24"/>
          <w:szCs w:val="24"/>
        </w:rPr>
      </w:pPr>
      <w:r>
        <w:rPr>
          <w:sz w:val="24"/>
          <w:szCs w:val="24"/>
        </w:rPr>
        <w:t>Building and Equipment Maintenance</w:t>
      </w:r>
      <w:r>
        <w:rPr>
          <w:sz w:val="24"/>
          <w:szCs w:val="24"/>
        </w:rPr>
        <w:tab/>
      </w:r>
      <w:r>
        <w:rPr>
          <w:sz w:val="24"/>
          <w:szCs w:val="24"/>
        </w:rPr>
        <w:tab/>
      </w:r>
      <w:r>
        <w:rPr>
          <w:sz w:val="24"/>
          <w:szCs w:val="24"/>
        </w:rPr>
        <w:tab/>
      </w:r>
      <w:r>
        <w:rPr>
          <w:sz w:val="24"/>
          <w:szCs w:val="24"/>
        </w:rPr>
        <w:tab/>
      </w:r>
      <w:r>
        <w:rPr>
          <w:sz w:val="24"/>
          <w:szCs w:val="24"/>
        </w:rPr>
        <w:tab/>
        <w:t>£151k;</w:t>
      </w:r>
    </w:p>
    <w:p w:rsidR="00D6712C" w:rsidRPr="00910118" w:rsidRDefault="00D6712C" w:rsidP="001A2F20">
      <w:pPr>
        <w:jc w:val="left"/>
        <w:rPr>
          <w:color w:val="FF0000"/>
          <w:sz w:val="24"/>
          <w:szCs w:val="24"/>
        </w:rPr>
      </w:pPr>
    </w:p>
    <w:p w:rsidR="00D6712C" w:rsidRPr="002D3731" w:rsidRDefault="00D6712C" w:rsidP="001A2F20">
      <w:pPr>
        <w:jc w:val="left"/>
        <w:rPr>
          <w:b/>
          <w:sz w:val="24"/>
          <w:szCs w:val="24"/>
        </w:rPr>
      </w:pPr>
      <w:r w:rsidRPr="002D3731">
        <w:rPr>
          <w:b/>
          <w:sz w:val="24"/>
          <w:szCs w:val="24"/>
        </w:rPr>
        <w:t>Savings Delivery – Material Variances:</w:t>
      </w:r>
    </w:p>
    <w:p w:rsidR="00D6712C" w:rsidRPr="002D3731" w:rsidRDefault="00D6712C" w:rsidP="001A2F20">
      <w:pPr>
        <w:pStyle w:val="ListParagraph"/>
        <w:numPr>
          <w:ilvl w:val="0"/>
          <w:numId w:val="28"/>
        </w:numPr>
        <w:ind w:left="714" w:hanging="357"/>
        <w:jc w:val="left"/>
        <w:rPr>
          <w:sz w:val="24"/>
          <w:szCs w:val="24"/>
        </w:rPr>
      </w:pPr>
      <w:r w:rsidRPr="002D3731">
        <w:rPr>
          <w:sz w:val="24"/>
          <w:szCs w:val="24"/>
        </w:rPr>
        <w:t>Car Parking Income:</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w:t>
      </w:r>
      <w:r w:rsidR="002D3731" w:rsidRPr="002D3731">
        <w:rPr>
          <w:sz w:val="24"/>
          <w:szCs w:val="24"/>
        </w:rPr>
        <w:t>66</w:t>
      </w:r>
      <w:r w:rsidRPr="002D3731">
        <w:rPr>
          <w:sz w:val="24"/>
          <w:szCs w:val="24"/>
        </w:rPr>
        <w:t>k;</w:t>
      </w:r>
    </w:p>
    <w:p w:rsidR="00D6712C" w:rsidRPr="002D3731" w:rsidRDefault="00D6712C" w:rsidP="001A2F20">
      <w:pPr>
        <w:pStyle w:val="ListParagraph"/>
        <w:numPr>
          <w:ilvl w:val="0"/>
          <w:numId w:val="28"/>
        </w:numPr>
        <w:ind w:left="714" w:hanging="357"/>
        <w:jc w:val="left"/>
        <w:rPr>
          <w:sz w:val="24"/>
          <w:szCs w:val="24"/>
        </w:rPr>
      </w:pPr>
      <w:r w:rsidRPr="002D3731">
        <w:rPr>
          <w:sz w:val="24"/>
          <w:szCs w:val="24"/>
        </w:rPr>
        <w:t>E</w:t>
      </w:r>
      <w:r w:rsidR="002D3731" w:rsidRPr="002D3731">
        <w:rPr>
          <w:sz w:val="24"/>
          <w:szCs w:val="24"/>
        </w:rPr>
        <w:t>states rationalisation:</w:t>
      </w:r>
      <w:r w:rsidR="002D3731" w:rsidRPr="002D3731">
        <w:rPr>
          <w:sz w:val="24"/>
          <w:szCs w:val="24"/>
        </w:rPr>
        <w:tab/>
      </w:r>
      <w:r w:rsidR="002D3731" w:rsidRPr="002D3731">
        <w:rPr>
          <w:sz w:val="24"/>
          <w:szCs w:val="24"/>
        </w:rPr>
        <w:tab/>
      </w:r>
      <w:r w:rsidR="002D3731" w:rsidRPr="002D3731">
        <w:rPr>
          <w:sz w:val="24"/>
          <w:szCs w:val="24"/>
        </w:rPr>
        <w:tab/>
      </w:r>
      <w:r w:rsidR="002D3731" w:rsidRPr="002D3731">
        <w:rPr>
          <w:sz w:val="24"/>
          <w:szCs w:val="24"/>
        </w:rPr>
        <w:tab/>
      </w:r>
      <w:r w:rsidR="002D3731" w:rsidRPr="002D3731">
        <w:rPr>
          <w:sz w:val="24"/>
          <w:szCs w:val="24"/>
        </w:rPr>
        <w:tab/>
      </w:r>
      <w:r w:rsidR="002D3731" w:rsidRPr="002D3731">
        <w:rPr>
          <w:sz w:val="24"/>
          <w:szCs w:val="24"/>
        </w:rPr>
        <w:tab/>
      </w:r>
      <w:r w:rsidR="002D3731" w:rsidRPr="002D3731">
        <w:rPr>
          <w:sz w:val="24"/>
          <w:szCs w:val="24"/>
        </w:rPr>
        <w:tab/>
        <w:t>£</w:t>
      </w:r>
      <w:r w:rsidRPr="002D3731">
        <w:rPr>
          <w:sz w:val="24"/>
          <w:szCs w:val="24"/>
        </w:rPr>
        <w:t>3</w:t>
      </w:r>
      <w:r w:rsidR="002D3731" w:rsidRPr="002D3731">
        <w:rPr>
          <w:sz w:val="24"/>
          <w:szCs w:val="24"/>
        </w:rPr>
        <w:t>2</w:t>
      </w:r>
      <w:r w:rsidRPr="002D3731">
        <w:rPr>
          <w:sz w:val="24"/>
          <w:szCs w:val="24"/>
        </w:rPr>
        <w:t>k</w:t>
      </w:r>
      <w:r w:rsidR="002D3731">
        <w:rPr>
          <w:sz w:val="24"/>
          <w:szCs w:val="24"/>
        </w:rPr>
        <w:t>;</w:t>
      </w:r>
    </w:p>
    <w:p w:rsidR="001A2F20" w:rsidRDefault="001A2F20">
      <w:pPr>
        <w:spacing w:after="200" w:line="276" w:lineRule="auto"/>
        <w:jc w:val="left"/>
        <w:rPr>
          <w:b/>
          <w:sz w:val="24"/>
          <w:szCs w:val="24"/>
        </w:rPr>
      </w:pPr>
      <w:r>
        <w:rPr>
          <w:b/>
          <w:sz w:val="24"/>
          <w:szCs w:val="24"/>
        </w:rPr>
        <w:br w:type="page"/>
      </w:r>
    </w:p>
    <w:p w:rsidR="008560FF" w:rsidRPr="00B6438B" w:rsidRDefault="008560FF" w:rsidP="001A2F20">
      <w:pPr>
        <w:jc w:val="left"/>
        <w:rPr>
          <w:b/>
          <w:sz w:val="24"/>
          <w:szCs w:val="24"/>
        </w:rPr>
      </w:pPr>
      <w:r w:rsidRPr="00B6438B">
        <w:rPr>
          <w:b/>
          <w:sz w:val="24"/>
          <w:szCs w:val="24"/>
        </w:rPr>
        <w:lastRenderedPageBreak/>
        <w:t>Corporate Directorates:</w:t>
      </w:r>
    </w:p>
    <w:p w:rsidR="00D6712C" w:rsidRDefault="00D6712C" w:rsidP="001A2F20">
      <w:pPr>
        <w:jc w:val="left"/>
        <w:rPr>
          <w:sz w:val="24"/>
          <w:szCs w:val="24"/>
        </w:rPr>
      </w:pPr>
    </w:p>
    <w:p w:rsidR="00CC3583" w:rsidRDefault="00B6438B" w:rsidP="001A2F20">
      <w:pPr>
        <w:jc w:val="left"/>
        <w:rPr>
          <w:sz w:val="24"/>
          <w:szCs w:val="24"/>
        </w:rPr>
      </w:pPr>
      <w:r>
        <w:rPr>
          <w:sz w:val="24"/>
          <w:szCs w:val="24"/>
        </w:rPr>
        <w:t xml:space="preserve">The budgetary position of </w:t>
      </w:r>
      <w:r w:rsidR="009D3090">
        <w:rPr>
          <w:sz w:val="24"/>
          <w:szCs w:val="24"/>
        </w:rPr>
        <w:t>Corporate</w:t>
      </w:r>
      <w:r>
        <w:rPr>
          <w:sz w:val="24"/>
          <w:szCs w:val="24"/>
        </w:rPr>
        <w:t xml:space="preserve"> Directorates is shown below – overall </w:t>
      </w:r>
      <w:r w:rsidR="002E6961">
        <w:rPr>
          <w:sz w:val="24"/>
          <w:szCs w:val="24"/>
        </w:rPr>
        <w:t>variances from budget are</w:t>
      </w:r>
      <w:r w:rsidR="008B7A10">
        <w:rPr>
          <w:sz w:val="24"/>
          <w:szCs w:val="24"/>
        </w:rPr>
        <w:t xml:space="preserve"> </w:t>
      </w:r>
      <w:r w:rsidR="00910118">
        <w:rPr>
          <w:sz w:val="24"/>
          <w:szCs w:val="24"/>
        </w:rPr>
        <w:t>£75k underspent</w:t>
      </w:r>
      <w:r w:rsidR="008B7A10">
        <w:rPr>
          <w:sz w:val="24"/>
          <w:szCs w:val="24"/>
        </w:rPr>
        <w:t>:</w:t>
      </w:r>
    </w:p>
    <w:p w:rsidR="00CC3583" w:rsidRDefault="00CC3583" w:rsidP="00CC3583">
      <w:pPr>
        <w:spacing w:line="276" w:lineRule="auto"/>
        <w:jc w:val="left"/>
        <w:rPr>
          <w:sz w:val="24"/>
          <w:szCs w:val="24"/>
        </w:rPr>
      </w:pPr>
    </w:p>
    <w:tbl>
      <w:tblPr>
        <w:tblW w:w="10363" w:type="dxa"/>
        <w:tblInd w:w="93" w:type="dxa"/>
        <w:tblLook w:val="04A0" w:firstRow="1" w:lastRow="0" w:firstColumn="1" w:lastColumn="0" w:noHBand="0" w:noVBand="1"/>
      </w:tblPr>
      <w:tblGrid>
        <w:gridCol w:w="4420"/>
        <w:gridCol w:w="2116"/>
        <w:gridCol w:w="1984"/>
        <w:gridCol w:w="1843"/>
      </w:tblGrid>
      <w:tr w:rsidR="008B7A10" w:rsidRPr="008B7A10" w:rsidTr="008B7A10">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8B7A10" w:rsidRPr="008B7A10" w:rsidRDefault="008B7A10" w:rsidP="008B7A10">
            <w:pPr>
              <w:jc w:val="left"/>
              <w:rPr>
                <w:rFonts w:ascii="Calibri" w:eastAsia="Times New Roman" w:hAnsi="Calibri" w:cs="Times New Roman"/>
                <w:b/>
                <w:color w:val="000000"/>
                <w:lang w:eastAsia="en-GB"/>
              </w:rPr>
            </w:pPr>
            <w:r w:rsidRPr="008B7A10">
              <w:rPr>
                <w:rFonts w:ascii="Calibri" w:eastAsia="Times New Roman" w:hAnsi="Calibri" w:cs="Times New Roman"/>
                <w:b/>
                <w:color w:val="000000"/>
                <w:lang w:eastAsia="en-GB"/>
              </w:rPr>
              <w:t>Directorate</w:t>
            </w:r>
          </w:p>
        </w:tc>
        <w:tc>
          <w:tcPr>
            <w:tcW w:w="2116" w:type="dxa"/>
            <w:tcBorders>
              <w:top w:val="single" w:sz="4" w:space="0" w:color="000000"/>
              <w:left w:val="single" w:sz="4" w:space="0" w:color="000000"/>
              <w:bottom w:val="nil"/>
              <w:right w:val="nil"/>
            </w:tcBorders>
            <w:shd w:val="clear" w:color="auto" w:fill="auto"/>
            <w:noWrap/>
            <w:vAlign w:val="bottom"/>
            <w:hideMark/>
          </w:tcPr>
          <w:p w:rsidR="008B7A10" w:rsidRPr="008B7A10" w:rsidRDefault="008B7A10" w:rsidP="008B7A10">
            <w:pPr>
              <w:jc w:val="left"/>
              <w:rPr>
                <w:rFonts w:ascii="Calibri" w:eastAsia="Times New Roman" w:hAnsi="Calibri" w:cs="Times New Roman"/>
                <w:b/>
                <w:color w:val="000000"/>
                <w:lang w:eastAsia="en-GB"/>
              </w:rPr>
            </w:pPr>
            <w:r w:rsidRPr="008B7A10">
              <w:rPr>
                <w:rFonts w:ascii="Calibri" w:eastAsia="Times New Roman" w:hAnsi="Calibri" w:cs="Times New Roman"/>
                <w:b/>
                <w:color w:val="000000"/>
                <w:lang w:eastAsia="en-GB"/>
              </w:rPr>
              <w:t>YTD  Budget £000s</w:t>
            </w:r>
          </w:p>
        </w:tc>
        <w:tc>
          <w:tcPr>
            <w:tcW w:w="1984" w:type="dxa"/>
            <w:tcBorders>
              <w:top w:val="single" w:sz="4" w:space="0" w:color="000000"/>
              <w:left w:val="nil"/>
              <w:bottom w:val="nil"/>
              <w:right w:val="nil"/>
            </w:tcBorders>
            <w:shd w:val="clear" w:color="auto" w:fill="auto"/>
            <w:noWrap/>
            <w:vAlign w:val="bottom"/>
            <w:hideMark/>
          </w:tcPr>
          <w:p w:rsidR="008B7A10" w:rsidRPr="008B7A10" w:rsidRDefault="008B7A10" w:rsidP="008B7A10">
            <w:pPr>
              <w:jc w:val="left"/>
              <w:rPr>
                <w:rFonts w:ascii="Calibri" w:eastAsia="Times New Roman" w:hAnsi="Calibri" w:cs="Times New Roman"/>
                <w:b/>
                <w:color w:val="000000"/>
                <w:lang w:eastAsia="en-GB"/>
              </w:rPr>
            </w:pPr>
            <w:r w:rsidRPr="008B7A10">
              <w:rPr>
                <w:rFonts w:ascii="Calibri" w:eastAsia="Times New Roman" w:hAnsi="Calibri" w:cs="Times New Roman"/>
                <w:b/>
                <w:color w:val="000000"/>
                <w:lang w:eastAsia="en-GB"/>
              </w:rPr>
              <w:t>YTD Actual £000s</w:t>
            </w:r>
          </w:p>
        </w:tc>
        <w:tc>
          <w:tcPr>
            <w:tcW w:w="1843" w:type="dxa"/>
            <w:tcBorders>
              <w:top w:val="single" w:sz="4" w:space="0" w:color="000000"/>
              <w:left w:val="nil"/>
              <w:bottom w:val="nil"/>
              <w:right w:val="single" w:sz="4" w:space="0" w:color="000000"/>
            </w:tcBorders>
            <w:shd w:val="clear" w:color="auto" w:fill="auto"/>
            <w:noWrap/>
            <w:vAlign w:val="bottom"/>
            <w:hideMark/>
          </w:tcPr>
          <w:p w:rsidR="008B7A10" w:rsidRPr="008B7A10" w:rsidRDefault="008B7A10" w:rsidP="008B7A10">
            <w:pPr>
              <w:jc w:val="left"/>
              <w:rPr>
                <w:rFonts w:ascii="Calibri" w:eastAsia="Times New Roman" w:hAnsi="Calibri" w:cs="Times New Roman"/>
                <w:b/>
                <w:color w:val="000000"/>
                <w:lang w:eastAsia="en-GB"/>
              </w:rPr>
            </w:pPr>
            <w:r w:rsidRPr="008B7A10">
              <w:rPr>
                <w:rFonts w:ascii="Calibri" w:eastAsia="Times New Roman" w:hAnsi="Calibri" w:cs="Times New Roman"/>
                <w:b/>
                <w:color w:val="000000"/>
                <w:lang w:eastAsia="en-GB"/>
              </w:rPr>
              <w:t> Variance £000s</w:t>
            </w:r>
          </w:p>
        </w:tc>
      </w:tr>
      <w:tr w:rsidR="00910118" w:rsidRPr="008B7A10" w:rsidTr="008B7A10">
        <w:trPr>
          <w:trHeight w:val="300"/>
        </w:trPr>
        <w:tc>
          <w:tcPr>
            <w:tcW w:w="4420" w:type="dxa"/>
            <w:tcBorders>
              <w:top w:val="single" w:sz="4" w:space="0" w:color="000000"/>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Trust Management</w:t>
            </w:r>
          </w:p>
        </w:tc>
        <w:tc>
          <w:tcPr>
            <w:tcW w:w="2116" w:type="dxa"/>
            <w:tcBorders>
              <w:top w:val="single" w:sz="4" w:space="0" w:color="000000"/>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288.1</w:t>
            </w:r>
          </w:p>
        </w:tc>
        <w:tc>
          <w:tcPr>
            <w:tcW w:w="1984" w:type="dxa"/>
            <w:tcBorders>
              <w:top w:val="single" w:sz="4" w:space="0" w:color="000000"/>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275.9</w:t>
            </w:r>
          </w:p>
        </w:tc>
        <w:tc>
          <w:tcPr>
            <w:tcW w:w="1843" w:type="dxa"/>
            <w:tcBorders>
              <w:top w:val="single" w:sz="4" w:space="0" w:color="000000"/>
              <w:left w:val="nil"/>
              <w:bottom w:val="nil"/>
              <w:right w:val="single" w:sz="4" w:space="0" w:color="000000"/>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12.2</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Medical Directors Office</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1,018.2</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959.8</w:t>
            </w:r>
          </w:p>
        </w:tc>
        <w:tc>
          <w:tcPr>
            <w:tcW w:w="1843" w:type="dxa"/>
            <w:tcBorders>
              <w:top w:val="nil"/>
              <w:left w:val="nil"/>
              <w:bottom w:val="nil"/>
              <w:right w:val="single" w:sz="4" w:space="0" w:color="000000"/>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58.4</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Chief Nurses Office</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1,219.6</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1,271.1</w:t>
            </w:r>
          </w:p>
        </w:tc>
        <w:tc>
          <w:tcPr>
            <w:tcW w:w="1843" w:type="dxa"/>
            <w:tcBorders>
              <w:top w:val="nil"/>
              <w:left w:val="nil"/>
              <w:bottom w:val="nil"/>
              <w:right w:val="single" w:sz="4" w:space="0" w:color="000000"/>
            </w:tcBorders>
            <w:shd w:val="clear" w:color="auto" w:fill="auto"/>
            <w:noWrap/>
            <w:vAlign w:val="bottom"/>
            <w:hideMark/>
          </w:tcPr>
          <w:p w:rsidR="00910118" w:rsidRDefault="00910118">
            <w:pPr>
              <w:jc w:val="right"/>
              <w:rPr>
                <w:rFonts w:ascii="Calibri" w:hAnsi="Calibri"/>
                <w:color w:val="000000"/>
              </w:rPr>
            </w:pPr>
            <w:r w:rsidRPr="00910118">
              <w:rPr>
                <w:rFonts w:ascii="Calibri" w:hAnsi="Calibri"/>
                <w:color w:val="FF0000"/>
              </w:rPr>
              <w:t>(51.5)</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Finance</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1,241.6</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1,156.5</w:t>
            </w:r>
          </w:p>
        </w:tc>
        <w:tc>
          <w:tcPr>
            <w:tcW w:w="1843" w:type="dxa"/>
            <w:tcBorders>
              <w:top w:val="nil"/>
              <w:left w:val="nil"/>
              <w:bottom w:val="nil"/>
              <w:right w:val="single" w:sz="4" w:space="0" w:color="000000"/>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85.0</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Governance</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478.7</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443.1</w:t>
            </w:r>
          </w:p>
        </w:tc>
        <w:tc>
          <w:tcPr>
            <w:tcW w:w="1843" w:type="dxa"/>
            <w:tcBorders>
              <w:top w:val="nil"/>
              <w:left w:val="nil"/>
              <w:bottom w:val="nil"/>
              <w:right w:val="single" w:sz="4" w:space="0" w:color="000000"/>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35.6</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7156C7">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 xml:space="preserve">Directorate of </w:t>
            </w:r>
            <w:r>
              <w:rPr>
                <w:rFonts w:ascii="Calibri" w:eastAsia="Times New Roman" w:hAnsi="Calibri" w:cs="Times New Roman"/>
                <w:color w:val="000000"/>
                <w:lang w:eastAsia="en-GB"/>
              </w:rPr>
              <w:t>People and OE</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1,407.6</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1,469.3</w:t>
            </w:r>
          </w:p>
        </w:tc>
        <w:tc>
          <w:tcPr>
            <w:tcW w:w="1843" w:type="dxa"/>
            <w:tcBorders>
              <w:top w:val="nil"/>
              <w:left w:val="nil"/>
              <w:bottom w:val="nil"/>
              <w:right w:val="single" w:sz="4" w:space="0" w:color="000000"/>
            </w:tcBorders>
            <w:shd w:val="clear" w:color="auto" w:fill="auto"/>
            <w:noWrap/>
            <w:vAlign w:val="bottom"/>
            <w:hideMark/>
          </w:tcPr>
          <w:p w:rsidR="00910118" w:rsidRPr="00910118" w:rsidRDefault="00910118">
            <w:pPr>
              <w:jc w:val="right"/>
              <w:rPr>
                <w:rFonts w:ascii="Calibri" w:hAnsi="Calibri"/>
                <w:color w:val="FF0000"/>
              </w:rPr>
            </w:pPr>
            <w:r w:rsidRPr="00910118">
              <w:rPr>
                <w:rFonts w:ascii="Calibri" w:hAnsi="Calibri"/>
                <w:color w:val="FF0000"/>
              </w:rPr>
              <w:t>(61.7)</w:t>
            </w:r>
          </w:p>
        </w:tc>
      </w:tr>
      <w:tr w:rsidR="00910118" w:rsidRPr="008B7A10" w:rsidTr="008B7A10">
        <w:trPr>
          <w:trHeight w:val="300"/>
        </w:trPr>
        <w:tc>
          <w:tcPr>
            <w:tcW w:w="4420" w:type="dxa"/>
            <w:tcBorders>
              <w:top w:val="nil"/>
              <w:left w:val="single" w:sz="4" w:space="0" w:color="000000"/>
              <w:bottom w:val="nil"/>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color w:val="000000"/>
                <w:lang w:eastAsia="en-GB"/>
              </w:rPr>
            </w:pPr>
            <w:r w:rsidRPr="008B7A10">
              <w:rPr>
                <w:rFonts w:ascii="Calibri" w:eastAsia="Times New Roman" w:hAnsi="Calibri" w:cs="Times New Roman"/>
                <w:color w:val="000000"/>
                <w:lang w:eastAsia="en-GB"/>
              </w:rPr>
              <w:t>Strategy &amp; Planning</w:t>
            </w:r>
          </w:p>
        </w:tc>
        <w:tc>
          <w:tcPr>
            <w:tcW w:w="2116" w:type="dxa"/>
            <w:tcBorders>
              <w:top w:val="nil"/>
              <w:left w:val="single" w:sz="4" w:space="0" w:color="000000"/>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2,608.7</w:t>
            </w:r>
          </w:p>
        </w:tc>
        <w:tc>
          <w:tcPr>
            <w:tcW w:w="1984" w:type="dxa"/>
            <w:tcBorders>
              <w:top w:val="nil"/>
              <w:left w:val="nil"/>
              <w:bottom w:val="nil"/>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2,612.2</w:t>
            </w:r>
          </w:p>
        </w:tc>
        <w:tc>
          <w:tcPr>
            <w:tcW w:w="1843" w:type="dxa"/>
            <w:tcBorders>
              <w:top w:val="nil"/>
              <w:left w:val="nil"/>
              <w:bottom w:val="nil"/>
              <w:right w:val="single" w:sz="4" w:space="0" w:color="000000"/>
            </w:tcBorders>
            <w:shd w:val="clear" w:color="auto" w:fill="auto"/>
            <w:noWrap/>
            <w:vAlign w:val="bottom"/>
            <w:hideMark/>
          </w:tcPr>
          <w:p w:rsidR="00910118" w:rsidRPr="00910118" w:rsidRDefault="00910118">
            <w:pPr>
              <w:jc w:val="right"/>
              <w:rPr>
                <w:rFonts w:ascii="Calibri" w:hAnsi="Calibri"/>
                <w:color w:val="FF0000"/>
              </w:rPr>
            </w:pPr>
            <w:r w:rsidRPr="00910118">
              <w:rPr>
                <w:rFonts w:ascii="Calibri" w:hAnsi="Calibri"/>
                <w:color w:val="FF0000"/>
              </w:rPr>
              <w:t>(3.5)</w:t>
            </w:r>
          </w:p>
        </w:tc>
      </w:tr>
      <w:tr w:rsidR="00910118" w:rsidRPr="008B7A10" w:rsidTr="008B7A10">
        <w:trPr>
          <w:trHeight w:val="300"/>
        </w:trPr>
        <w:tc>
          <w:tcPr>
            <w:tcW w:w="4420" w:type="dxa"/>
            <w:tcBorders>
              <w:top w:val="single" w:sz="4" w:space="0" w:color="000000"/>
              <w:left w:val="single" w:sz="4" w:space="0" w:color="000000"/>
              <w:bottom w:val="single" w:sz="4" w:space="0" w:color="000000"/>
              <w:right w:val="nil"/>
            </w:tcBorders>
            <w:shd w:val="clear" w:color="auto" w:fill="auto"/>
            <w:noWrap/>
            <w:vAlign w:val="bottom"/>
            <w:hideMark/>
          </w:tcPr>
          <w:p w:rsidR="00910118" w:rsidRPr="008B7A10" w:rsidRDefault="00910118" w:rsidP="008B7A10">
            <w:pPr>
              <w:jc w:val="left"/>
              <w:rPr>
                <w:rFonts w:ascii="Calibri" w:eastAsia="Times New Roman" w:hAnsi="Calibri" w:cs="Times New Roman"/>
                <w:b/>
                <w:bCs/>
                <w:color w:val="000000"/>
                <w:lang w:eastAsia="en-GB"/>
              </w:rPr>
            </w:pPr>
            <w:r w:rsidRPr="008B7A10">
              <w:rPr>
                <w:rFonts w:ascii="Calibri" w:eastAsia="Times New Roman" w:hAnsi="Calibri" w:cs="Times New Roman"/>
                <w:b/>
                <w:bCs/>
                <w:color w:val="000000"/>
                <w:lang w:eastAsia="en-GB"/>
              </w:rPr>
              <w:t>Total</w:t>
            </w:r>
          </w:p>
        </w:tc>
        <w:tc>
          <w:tcPr>
            <w:tcW w:w="2116" w:type="dxa"/>
            <w:tcBorders>
              <w:top w:val="single" w:sz="4" w:space="0" w:color="000000"/>
              <w:left w:val="single" w:sz="4" w:space="0" w:color="000000"/>
              <w:bottom w:val="single" w:sz="4" w:space="0" w:color="000000"/>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8,262.5</w:t>
            </w:r>
          </w:p>
        </w:tc>
        <w:tc>
          <w:tcPr>
            <w:tcW w:w="1984" w:type="dxa"/>
            <w:tcBorders>
              <w:top w:val="single" w:sz="4" w:space="0" w:color="000000"/>
              <w:left w:val="nil"/>
              <w:bottom w:val="single" w:sz="4" w:space="0" w:color="000000"/>
              <w:right w:val="nil"/>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8,188.0</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910118" w:rsidRDefault="00910118">
            <w:pPr>
              <w:jc w:val="right"/>
              <w:rPr>
                <w:rFonts w:ascii="Calibri" w:hAnsi="Calibri"/>
                <w:color w:val="000000"/>
              </w:rPr>
            </w:pPr>
            <w:r>
              <w:rPr>
                <w:rFonts w:ascii="Calibri" w:hAnsi="Calibri"/>
                <w:color w:val="000000"/>
              </w:rPr>
              <w:t>74.5</w:t>
            </w:r>
          </w:p>
        </w:tc>
      </w:tr>
    </w:tbl>
    <w:p w:rsidR="00CC3583" w:rsidRDefault="00CC3583" w:rsidP="00CC3583">
      <w:pPr>
        <w:spacing w:line="276" w:lineRule="auto"/>
        <w:jc w:val="left"/>
        <w:rPr>
          <w:sz w:val="24"/>
          <w:szCs w:val="24"/>
        </w:rPr>
      </w:pPr>
    </w:p>
    <w:p w:rsidR="00CC3583" w:rsidRPr="002D3731" w:rsidRDefault="007156C7" w:rsidP="00CC3583">
      <w:pPr>
        <w:spacing w:line="276" w:lineRule="auto"/>
        <w:jc w:val="left"/>
        <w:rPr>
          <w:sz w:val="24"/>
          <w:szCs w:val="24"/>
        </w:rPr>
      </w:pPr>
      <w:r w:rsidRPr="002D3731">
        <w:rPr>
          <w:sz w:val="24"/>
          <w:szCs w:val="24"/>
        </w:rPr>
        <w:t>Material variances:</w:t>
      </w:r>
    </w:p>
    <w:p w:rsidR="007156C7" w:rsidRPr="002D3731" w:rsidRDefault="007156C7" w:rsidP="00CC3583">
      <w:pPr>
        <w:spacing w:line="276" w:lineRule="auto"/>
        <w:jc w:val="left"/>
        <w:rPr>
          <w:sz w:val="24"/>
          <w:szCs w:val="24"/>
        </w:rPr>
      </w:pPr>
    </w:p>
    <w:p w:rsidR="007156C7" w:rsidRPr="002D3731" w:rsidRDefault="007156C7" w:rsidP="00CC3583">
      <w:pPr>
        <w:spacing w:line="276" w:lineRule="auto"/>
        <w:jc w:val="left"/>
        <w:rPr>
          <w:b/>
          <w:sz w:val="24"/>
          <w:szCs w:val="24"/>
        </w:rPr>
      </w:pPr>
      <w:r w:rsidRPr="002D3731">
        <w:rPr>
          <w:b/>
          <w:sz w:val="24"/>
          <w:szCs w:val="24"/>
        </w:rPr>
        <w:t>Directorate of People and OE:</w:t>
      </w:r>
    </w:p>
    <w:p w:rsidR="007156C7" w:rsidRPr="002D3731" w:rsidRDefault="007156C7" w:rsidP="007156C7">
      <w:pPr>
        <w:pStyle w:val="ListParagraph"/>
        <w:numPr>
          <w:ilvl w:val="0"/>
          <w:numId w:val="28"/>
        </w:numPr>
        <w:spacing w:line="276" w:lineRule="auto"/>
        <w:jc w:val="left"/>
        <w:rPr>
          <w:sz w:val="24"/>
          <w:szCs w:val="24"/>
        </w:rPr>
      </w:pPr>
      <w:r w:rsidRPr="002D3731">
        <w:rPr>
          <w:sz w:val="24"/>
          <w:szCs w:val="24"/>
        </w:rPr>
        <w:t>Staffing costs:</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w:t>
      </w:r>
      <w:r w:rsidR="002D3731" w:rsidRPr="002D3731">
        <w:rPr>
          <w:sz w:val="24"/>
          <w:szCs w:val="24"/>
        </w:rPr>
        <w:t>18</w:t>
      </w:r>
      <w:r w:rsidRPr="002D3731">
        <w:rPr>
          <w:sz w:val="24"/>
          <w:szCs w:val="24"/>
        </w:rPr>
        <w:t>k;</w:t>
      </w:r>
    </w:p>
    <w:p w:rsidR="007156C7" w:rsidRPr="002D3731" w:rsidRDefault="007156C7" w:rsidP="007156C7">
      <w:pPr>
        <w:pStyle w:val="ListParagraph"/>
        <w:numPr>
          <w:ilvl w:val="0"/>
          <w:numId w:val="28"/>
        </w:numPr>
        <w:spacing w:line="276" w:lineRule="auto"/>
        <w:jc w:val="left"/>
        <w:rPr>
          <w:sz w:val="24"/>
          <w:szCs w:val="24"/>
        </w:rPr>
      </w:pPr>
      <w:r w:rsidRPr="002D3731">
        <w:rPr>
          <w:sz w:val="24"/>
          <w:szCs w:val="24"/>
        </w:rPr>
        <w:t>CRB checks:</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£2</w:t>
      </w:r>
      <w:r w:rsidR="002D3731" w:rsidRPr="002D3731">
        <w:rPr>
          <w:sz w:val="24"/>
          <w:szCs w:val="24"/>
        </w:rPr>
        <w:t>7</w:t>
      </w:r>
      <w:r w:rsidRPr="002D3731">
        <w:rPr>
          <w:sz w:val="24"/>
          <w:szCs w:val="24"/>
        </w:rPr>
        <w:t>k;</w:t>
      </w:r>
    </w:p>
    <w:p w:rsidR="00654530" w:rsidRPr="00CA26A7" w:rsidRDefault="00654530" w:rsidP="008E4B65">
      <w:pPr>
        <w:spacing w:line="276" w:lineRule="auto"/>
        <w:jc w:val="left"/>
        <w:rPr>
          <w:color w:val="FF0000"/>
          <w:sz w:val="24"/>
          <w:szCs w:val="24"/>
        </w:rPr>
      </w:pPr>
    </w:p>
    <w:p w:rsidR="007156C7" w:rsidRPr="002D3731" w:rsidRDefault="007156C7" w:rsidP="008E4B65">
      <w:pPr>
        <w:spacing w:line="276" w:lineRule="auto"/>
        <w:jc w:val="left"/>
        <w:rPr>
          <w:b/>
          <w:sz w:val="24"/>
          <w:szCs w:val="24"/>
        </w:rPr>
      </w:pPr>
      <w:r w:rsidRPr="002D3731">
        <w:rPr>
          <w:b/>
          <w:sz w:val="24"/>
          <w:szCs w:val="24"/>
        </w:rPr>
        <w:t>Chief Nurse Office:</w:t>
      </w:r>
    </w:p>
    <w:p w:rsidR="007156C7" w:rsidRPr="002D3731" w:rsidRDefault="007156C7" w:rsidP="007156C7">
      <w:pPr>
        <w:pStyle w:val="ListParagraph"/>
        <w:numPr>
          <w:ilvl w:val="0"/>
          <w:numId w:val="28"/>
        </w:numPr>
        <w:spacing w:line="276" w:lineRule="auto"/>
        <w:jc w:val="left"/>
        <w:rPr>
          <w:sz w:val="24"/>
          <w:szCs w:val="24"/>
        </w:rPr>
      </w:pPr>
      <w:r w:rsidRPr="002D3731">
        <w:rPr>
          <w:sz w:val="24"/>
          <w:szCs w:val="24"/>
        </w:rPr>
        <w:t>Income shortfalls:</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£1</w:t>
      </w:r>
      <w:r w:rsidR="002D3731" w:rsidRPr="002D3731">
        <w:rPr>
          <w:sz w:val="24"/>
          <w:szCs w:val="24"/>
        </w:rPr>
        <w:t>6</w:t>
      </w:r>
      <w:r w:rsidRPr="002D3731">
        <w:rPr>
          <w:sz w:val="24"/>
          <w:szCs w:val="24"/>
        </w:rPr>
        <w:t>k;</w:t>
      </w:r>
    </w:p>
    <w:p w:rsidR="007156C7" w:rsidRPr="002D3731" w:rsidRDefault="007156C7" w:rsidP="007156C7">
      <w:pPr>
        <w:pStyle w:val="ListParagraph"/>
        <w:numPr>
          <w:ilvl w:val="0"/>
          <w:numId w:val="28"/>
        </w:numPr>
        <w:spacing w:line="276" w:lineRule="auto"/>
        <w:jc w:val="left"/>
        <w:rPr>
          <w:sz w:val="24"/>
          <w:szCs w:val="24"/>
        </w:rPr>
      </w:pPr>
      <w:r w:rsidRPr="002D3731">
        <w:rPr>
          <w:sz w:val="24"/>
          <w:szCs w:val="24"/>
        </w:rPr>
        <w:t>Staffing costs:</w:t>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r>
      <w:r w:rsidRPr="002D3731">
        <w:rPr>
          <w:sz w:val="24"/>
          <w:szCs w:val="24"/>
        </w:rPr>
        <w:tab/>
        <w:t>£</w:t>
      </w:r>
      <w:r w:rsidR="002D3731" w:rsidRPr="002D3731">
        <w:rPr>
          <w:sz w:val="24"/>
          <w:szCs w:val="24"/>
        </w:rPr>
        <w:t>2</w:t>
      </w:r>
      <w:r w:rsidRPr="002D3731">
        <w:rPr>
          <w:sz w:val="24"/>
          <w:szCs w:val="24"/>
        </w:rPr>
        <w:t>5k</w:t>
      </w:r>
    </w:p>
    <w:p w:rsidR="007156C7" w:rsidRPr="00CA26A7" w:rsidRDefault="007156C7" w:rsidP="007156C7">
      <w:pPr>
        <w:spacing w:line="276" w:lineRule="auto"/>
        <w:jc w:val="left"/>
        <w:rPr>
          <w:color w:val="FF0000"/>
          <w:sz w:val="24"/>
          <w:szCs w:val="24"/>
        </w:rPr>
      </w:pPr>
    </w:p>
    <w:p w:rsidR="007156C7" w:rsidRPr="002D3731" w:rsidRDefault="007156C7" w:rsidP="007156C7">
      <w:pPr>
        <w:spacing w:line="276" w:lineRule="auto"/>
        <w:jc w:val="left"/>
        <w:rPr>
          <w:sz w:val="24"/>
          <w:szCs w:val="24"/>
        </w:rPr>
      </w:pPr>
      <w:r w:rsidRPr="002D3731">
        <w:rPr>
          <w:sz w:val="24"/>
          <w:szCs w:val="24"/>
        </w:rPr>
        <w:t xml:space="preserve">Savings delivery is reflected in the budget </w:t>
      </w:r>
      <w:r w:rsidR="009D3090" w:rsidRPr="002D3731">
        <w:rPr>
          <w:sz w:val="24"/>
          <w:szCs w:val="24"/>
        </w:rPr>
        <w:t>envelopes</w:t>
      </w:r>
      <w:r w:rsidRPr="002D3731">
        <w:rPr>
          <w:sz w:val="24"/>
          <w:szCs w:val="24"/>
        </w:rPr>
        <w:t xml:space="preserve"> set for Corporate Directorates.</w:t>
      </w:r>
    </w:p>
    <w:p w:rsidR="007156C7" w:rsidRPr="00CA26A7" w:rsidRDefault="007156C7" w:rsidP="007156C7">
      <w:pPr>
        <w:spacing w:line="276" w:lineRule="auto"/>
        <w:jc w:val="left"/>
        <w:rPr>
          <w:color w:val="FF0000"/>
          <w:sz w:val="24"/>
          <w:szCs w:val="24"/>
        </w:rPr>
      </w:pPr>
    </w:p>
    <w:p w:rsidR="00574B97" w:rsidRDefault="00574B97">
      <w:pPr>
        <w:spacing w:after="200" w:line="276" w:lineRule="auto"/>
        <w:jc w:val="left"/>
        <w:rPr>
          <w:b/>
          <w:sz w:val="24"/>
          <w:szCs w:val="24"/>
        </w:rPr>
      </w:pPr>
    </w:p>
    <w:p w:rsidR="00CC3583" w:rsidRDefault="00CC3583">
      <w:pPr>
        <w:spacing w:after="200" w:line="276" w:lineRule="auto"/>
        <w:jc w:val="left"/>
        <w:rPr>
          <w:b/>
          <w:sz w:val="24"/>
          <w:szCs w:val="24"/>
        </w:rPr>
      </w:pPr>
      <w:r>
        <w:rPr>
          <w:b/>
          <w:sz w:val="24"/>
          <w:szCs w:val="24"/>
        </w:rPr>
        <w:br w:type="page"/>
      </w:r>
    </w:p>
    <w:p w:rsidR="00C239BD" w:rsidRPr="00093036" w:rsidRDefault="007945CA" w:rsidP="00654530">
      <w:pPr>
        <w:rPr>
          <w:b/>
          <w:sz w:val="24"/>
          <w:szCs w:val="24"/>
        </w:rPr>
      </w:pPr>
      <w:r w:rsidRPr="00093036">
        <w:rPr>
          <w:b/>
          <w:sz w:val="24"/>
          <w:szCs w:val="24"/>
        </w:rPr>
        <w:lastRenderedPageBreak/>
        <w:t>6</w:t>
      </w:r>
      <w:r w:rsidR="00C239BD" w:rsidRPr="00093036">
        <w:rPr>
          <w:b/>
          <w:sz w:val="24"/>
          <w:szCs w:val="24"/>
        </w:rPr>
        <w:t>.</w:t>
      </w:r>
      <w:r w:rsidR="00C239BD" w:rsidRPr="00093036">
        <w:rPr>
          <w:b/>
          <w:sz w:val="24"/>
          <w:szCs w:val="24"/>
        </w:rPr>
        <w:tab/>
        <w:t>Capital Programme:</w:t>
      </w:r>
    </w:p>
    <w:p w:rsidR="006100A1" w:rsidRPr="00093036" w:rsidRDefault="006100A1" w:rsidP="00DC1BDF">
      <w:pPr>
        <w:rPr>
          <w:sz w:val="24"/>
          <w:szCs w:val="24"/>
        </w:rPr>
      </w:pPr>
    </w:p>
    <w:p w:rsidR="003D0020" w:rsidRPr="009C5617" w:rsidRDefault="00CB1509" w:rsidP="00CB1509">
      <w:pPr>
        <w:rPr>
          <w:sz w:val="24"/>
          <w:szCs w:val="24"/>
        </w:rPr>
      </w:pPr>
      <w:r w:rsidRPr="009C5617">
        <w:rPr>
          <w:sz w:val="24"/>
          <w:szCs w:val="24"/>
        </w:rPr>
        <w:t>Capital expenditure</w:t>
      </w:r>
      <w:r w:rsidR="003D0020" w:rsidRPr="009C5617">
        <w:rPr>
          <w:sz w:val="24"/>
          <w:szCs w:val="24"/>
        </w:rPr>
        <w:t xml:space="preserve"> </w:t>
      </w:r>
      <w:r w:rsidR="00093036" w:rsidRPr="009C5617">
        <w:rPr>
          <w:sz w:val="24"/>
          <w:szCs w:val="24"/>
        </w:rPr>
        <w:t xml:space="preserve">is </w:t>
      </w:r>
      <w:r w:rsidR="00497CEF" w:rsidRPr="009C5617">
        <w:rPr>
          <w:sz w:val="24"/>
          <w:szCs w:val="24"/>
        </w:rPr>
        <w:t>now only slightly behind plan, as the Residencies scheme now nears completion</w:t>
      </w:r>
      <w:r w:rsidR="00093036" w:rsidRPr="009C5617">
        <w:rPr>
          <w:sz w:val="24"/>
          <w:szCs w:val="24"/>
        </w:rPr>
        <w:t xml:space="preserve">. </w:t>
      </w:r>
    </w:p>
    <w:p w:rsidR="003D0020" w:rsidRPr="009C5617" w:rsidRDefault="003D0020" w:rsidP="00CB1509">
      <w:pPr>
        <w:rPr>
          <w:sz w:val="24"/>
          <w:szCs w:val="24"/>
        </w:rPr>
      </w:pPr>
    </w:p>
    <w:p w:rsidR="003D0020" w:rsidRPr="009C5617" w:rsidRDefault="00497CEF" w:rsidP="00CB1509">
      <w:pPr>
        <w:rPr>
          <w:sz w:val="24"/>
          <w:szCs w:val="24"/>
        </w:rPr>
      </w:pPr>
      <w:r w:rsidRPr="009C5617">
        <w:rPr>
          <w:sz w:val="24"/>
          <w:szCs w:val="24"/>
        </w:rPr>
        <w:t xml:space="preserve">However, </w:t>
      </w:r>
      <w:r w:rsidR="00093036" w:rsidRPr="009C5617">
        <w:rPr>
          <w:sz w:val="24"/>
          <w:szCs w:val="24"/>
        </w:rPr>
        <w:t xml:space="preserve">capital creditors </w:t>
      </w:r>
      <w:r w:rsidRPr="009C5617">
        <w:rPr>
          <w:sz w:val="24"/>
          <w:szCs w:val="24"/>
        </w:rPr>
        <w:t>r</w:t>
      </w:r>
      <w:r w:rsidR="00093036" w:rsidRPr="009C5617">
        <w:rPr>
          <w:sz w:val="24"/>
          <w:szCs w:val="24"/>
        </w:rPr>
        <w:t>emain high, this is helping mitigate the cashflow position – until the programme and creditor levels get back on track</w:t>
      </w:r>
      <w:r w:rsidRPr="009C5617">
        <w:rPr>
          <w:sz w:val="24"/>
          <w:szCs w:val="24"/>
        </w:rPr>
        <w:t xml:space="preserve"> and the additional funding required for the </w:t>
      </w:r>
      <w:r w:rsidR="00A65520" w:rsidRPr="009C5617">
        <w:rPr>
          <w:sz w:val="24"/>
          <w:szCs w:val="24"/>
        </w:rPr>
        <w:t>Residencies</w:t>
      </w:r>
      <w:r w:rsidRPr="009C5617">
        <w:rPr>
          <w:sz w:val="24"/>
          <w:szCs w:val="24"/>
        </w:rPr>
        <w:t xml:space="preserve"> is confirmed</w:t>
      </w:r>
      <w:r w:rsidR="00093036" w:rsidRPr="009C5617">
        <w:rPr>
          <w:sz w:val="24"/>
          <w:szCs w:val="24"/>
        </w:rPr>
        <w:t>.</w:t>
      </w:r>
    </w:p>
    <w:p w:rsidR="00CB1509" w:rsidRPr="00093036" w:rsidRDefault="00CB1509" w:rsidP="00CB1509">
      <w:pPr>
        <w:rPr>
          <w:color w:val="FF0000"/>
          <w:sz w:val="24"/>
          <w:szCs w:val="24"/>
        </w:rPr>
      </w:pPr>
    </w:p>
    <w:tbl>
      <w:tblPr>
        <w:tblW w:w="5132" w:type="pct"/>
        <w:tblLook w:val="04A0" w:firstRow="1" w:lastRow="0" w:firstColumn="1" w:lastColumn="0" w:noHBand="0" w:noVBand="1"/>
      </w:tblPr>
      <w:tblGrid>
        <w:gridCol w:w="4764"/>
        <w:gridCol w:w="1531"/>
        <w:gridCol w:w="1531"/>
        <w:gridCol w:w="1528"/>
        <w:gridCol w:w="1610"/>
      </w:tblGrid>
      <w:tr w:rsidR="00093036" w:rsidRPr="00093036" w:rsidTr="000F47A3">
        <w:trPr>
          <w:trHeight w:val="645"/>
        </w:trPr>
        <w:tc>
          <w:tcPr>
            <w:tcW w:w="2173" w:type="pct"/>
            <w:vMerge w:val="restart"/>
            <w:tcBorders>
              <w:top w:val="single" w:sz="12" w:space="0" w:color="auto"/>
              <w:left w:val="single" w:sz="12" w:space="0" w:color="auto"/>
              <w:bottom w:val="single" w:sz="8" w:space="0" w:color="000000"/>
              <w:right w:val="single" w:sz="8" w:space="0" w:color="auto"/>
            </w:tcBorders>
            <w:shd w:val="clear" w:color="auto" w:fill="auto"/>
            <w:vAlign w:val="bottom"/>
            <w:hideMark/>
          </w:tcPr>
          <w:p w:rsidR="00093036" w:rsidRPr="00093036" w:rsidRDefault="00093036" w:rsidP="00093036">
            <w:pPr>
              <w:jc w:val="left"/>
              <w:rPr>
                <w:rFonts w:eastAsia="Times New Roman" w:cs="Arial"/>
                <w:b/>
                <w:bCs/>
                <w:sz w:val="24"/>
                <w:szCs w:val="24"/>
                <w:lang w:eastAsia="en-GB"/>
              </w:rPr>
            </w:pPr>
            <w:r w:rsidRPr="00093036">
              <w:rPr>
                <w:rFonts w:eastAsia="Times New Roman" w:cs="Arial"/>
                <w:b/>
                <w:bCs/>
                <w:sz w:val="24"/>
                <w:szCs w:val="24"/>
                <w:lang w:eastAsia="en-GB"/>
              </w:rPr>
              <w:t> </w:t>
            </w:r>
          </w:p>
        </w:tc>
        <w:tc>
          <w:tcPr>
            <w:tcW w:w="698" w:type="pct"/>
            <w:tcBorders>
              <w:top w:val="single" w:sz="12" w:space="0" w:color="auto"/>
              <w:left w:val="nil"/>
              <w:bottom w:val="nil"/>
              <w:right w:val="single" w:sz="8" w:space="0" w:color="auto"/>
            </w:tcBorders>
            <w:shd w:val="clear" w:color="auto" w:fill="auto"/>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Current Full Year Plan</w:t>
            </w:r>
          </w:p>
        </w:tc>
        <w:tc>
          <w:tcPr>
            <w:tcW w:w="698" w:type="pct"/>
            <w:tcBorders>
              <w:top w:val="single" w:sz="12" w:space="0" w:color="auto"/>
              <w:left w:val="nil"/>
              <w:bottom w:val="nil"/>
              <w:right w:val="single" w:sz="8" w:space="0" w:color="auto"/>
            </w:tcBorders>
            <w:shd w:val="clear" w:color="auto" w:fill="auto"/>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YTD Plan</w:t>
            </w:r>
          </w:p>
        </w:tc>
        <w:tc>
          <w:tcPr>
            <w:tcW w:w="697" w:type="pct"/>
            <w:tcBorders>
              <w:top w:val="single" w:sz="12" w:space="0" w:color="auto"/>
              <w:left w:val="nil"/>
              <w:bottom w:val="nil"/>
              <w:right w:val="single" w:sz="8" w:space="0" w:color="auto"/>
            </w:tcBorders>
            <w:shd w:val="clear" w:color="auto" w:fill="auto"/>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YTD Actual</w:t>
            </w:r>
          </w:p>
        </w:tc>
        <w:tc>
          <w:tcPr>
            <w:tcW w:w="734" w:type="pct"/>
            <w:tcBorders>
              <w:top w:val="single" w:sz="12" w:space="0" w:color="auto"/>
              <w:left w:val="nil"/>
              <w:bottom w:val="nil"/>
              <w:right w:val="single" w:sz="12" w:space="0" w:color="auto"/>
            </w:tcBorders>
            <w:shd w:val="clear" w:color="auto" w:fill="auto"/>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YTD Variance</w:t>
            </w:r>
          </w:p>
        </w:tc>
      </w:tr>
      <w:tr w:rsidR="00093036" w:rsidRPr="00093036" w:rsidTr="000F47A3">
        <w:trPr>
          <w:trHeight w:val="330"/>
        </w:trPr>
        <w:tc>
          <w:tcPr>
            <w:tcW w:w="2173" w:type="pct"/>
            <w:vMerge/>
            <w:tcBorders>
              <w:top w:val="single" w:sz="12" w:space="0" w:color="auto"/>
              <w:left w:val="single" w:sz="12" w:space="0" w:color="auto"/>
              <w:bottom w:val="single" w:sz="8" w:space="0" w:color="000000"/>
              <w:right w:val="single" w:sz="8" w:space="0" w:color="auto"/>
            </w:tcBorders>
            <w:vAlign w:val="center"/>
            <w:hideMark/>
          </w:tcPr>
          <w:p w:rsidR="00093036" w:rsidRPr="00093036" w:rsidRDefault="00093036" w:rsidP="00093036">
            <w:pPr>
              <w:jc w:val="left"/>
              <w:rPr>
                <w:rFonts w:eastAsia="Times New Roman" w:cs="Arial"/>
                <w:b/>
                <w:bCs/>
                <w:sz w:val="24"/>
                <w:szCs w:val="24"/>
                <w:lang w:eastAsia="en-GB"/>
              </w:rPr>
            </w:pPr>
          </w:p>
        </w:tc>
        <w:tc>
          <w:tcPr>
            <w:tcW w:w="698" w:type="pct"/>
            <w:tcBorders>
              <w:top w:val="nil"/>
              <w:left w:val="nil"/>
              <w:bottom w:val="single" w:sz="8" w:space="0" w:color="auto"/>
              <w:right w:val="single" w:sz="8" w:space="0" w:color="auto"/>
            </w:tcBorders>
            <w:shd w:val="clear" w:color="auto" w:fill="auto"/>
            <w:vAlign w:val="bottom"/>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£mil</w:t>
            </w:r>
          </w:p>
        </w:tc>
        <w:tc>
          <w:tcPr>
            <w:tcW w:w="698" w:type="pct"/>
            <w:tcBorders>
              <w:top w:val="nil"/>
              <w:left w:val="nil"/>
              <w:bottom w:val="single" w:sz="8" w:space="0" w:color="auto"/>
              <w:right w:val="single" w:sz="8" w:space="0" w:color="auto"/>
            </w:tcBorders>
            <w:shd w:val="clear" w:color="auto" w:fill="auto"/>
            <w:vAlign w:val="bottom"/>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£mil</w:t>
            </w:r>
          </w:p>
        </w:tc>
        <w:tc>
          <w:tcPr>
            <w:tcW w:w="697" w:type="pct"/>
            <w:tcBorders>
              <w:top w:val="nil"/>
              <w:left w:val="nil"/>
              <w:bottom w:val="single" w:sz="8" w:space="0" w:color="auto"/>
              <w:right w:val="single" w:sz="8" w:space="0" w:color="auto"/>
            </w:tcBorders>
            <w:shd w:val="clear" w:color="auto" w:fill="auto"/>
            <w:vAlign w:val="bottom"/>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£mil</w:t>
            </w:r>
          </w:p>
        </w:tc>
        <w:tc>
          <w:tcPr>
            <w:tcW w:w="734" w:type="pct"/>
            <w:tcBorders>
              <w:top w:val="nil"/>
              <w:left w:val="nil"/>
              <w:bottom w:val="single" w:sz="8" w:space="0" w:color="auto"/>
              <w:right w:val="single" w:sz="12" w:space="0" w:color="auto"/>
            </w:tcBorders>
            <w:shd w:val="clear" w:color="auto" w:fill="auto"/>
            <w:vAlign w:val="bottom"/>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£mil</w:t>
            </w:r>
          </w:p>
        </w:tc>
      </w:tr>
      <w:tr w:rsidR="00093036" w:rsidRPr="00093036" w:rsidTr="000F47A3">
        <w:trPr>
          <w:trHeight w:val="315"/>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b/>
                <w:bCs/>
                <w:sz w:val="24"/>
                <w:szCs w:val="24"/>
                <w:lang w:eastAsia="en-GB"/>
              </w:rPr>
            </w:pPr>
            <w:r w:rsidRPr="00093036">
              <w:rPr>
                <w:rFonts w:eastAsia="Times New Roman" w:cs="Arial"/>
                <w:b/>
                <w:bCs/>
                <w:sz w:val="24"/>
                <w:szCs w:val="24"/>
                <w:lang w:eastAsia="en-GB"/>
              </w:rPr>
              <w:t>Major Schemes</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7"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734" w:type="pct"/>
            <w:tcBorders>
              <w:top w:val="nil"/>
              <w:left w:val="nil"/>
              <w:bottom w:val="nil"/>
              <w:right w:val="single" w:sz="12"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Major Equipment Replacement</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2.29</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0.13</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0.04</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color w:val="FF0000"/>
                <w:sz w:val="24"/>
                <w:szCs w:val="24"/>
                <w:lang w:eastAsia="en-GB"/>
              </w:rPr>
              <w:t>(0.09</w:t>
            </w:r>
            <w:r w:rsidR="00093036" w:rsidRPr="00093036">
              <w:rPr>
                <w:rFonts w:eastAsia="Times New Roman" w:cs="Arial"/>
                <w:color w:val="FF0000"/>
                <w:sz w:val="24"/>
                <w:szCs w:val="24"/>
                <w:lang w:eastAsia="en-GB"/>
              </w:rPr>
              <w:t>)</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DPoW Reconfiguration Programme</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1.19</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0.84</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0.85</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F47A3">
            <w:pPr>
              <w:jc w:val="center"/>
              <w:rPr>
                <w:rFonts w:eastAsia="Times New Roman" w:cs="Arial"/>
                <w:sz w:val="24"/>
                <w:szCs w:val="24"/>
                <w:lang w:eastAsia="en-GB"/>
              </w:rPr>
            </w:pPr>
            <w:r w:rsidRPr="000F47A3">
              <w:rPr>
                <w:rFonts w:eastAsia="Times New Roman" w:cs="Arial"/>
                <w:sz w:val="24"/>
                <w:szCs w:val="24"/>
                <w:lang w:eastAsia="en-GB"/>
              </w:rPr>
              <w:t>0.01</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SGH &amp; GDH Reconfiguration Programme</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0.88</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0.30</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0.04</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color w:val="FF0000"/>
                <w:sz w:val="24"/>
                <w:szCs w:val="24"/>
                <w:lang w:eastAsia="en-GB"/>
              </w:rPr>
              <w:t>(0.</w:t>
            </w:r>
            <w:r w:rsidR="00093036" w:rsidRPr="00093036">
              <w:rPr>
                <w:rFonts w:eastAsia="Times New Roman" w:cs="Arial"/>
                <w:color w:val="FF0000"/>
                <w:sz w:val="24"/>
                <w:szCs w:val="24"/>
                <w:lang w:eastAsia="en-GB"/>
              </w:rPr>
              <w:t>2</w:t>
            </w:r>
            <w:r>
              <w:rPr>
                <w:rFonts w:eastAsia="Times New Roman" w:cs="Arial"/>
                <w:color w:val="FF0000"/>
                <w:sz w:val="24"/>
                <w:szCs w:val="24"/>
                <w:lang w:eastAsia="en-GB"/>
              </w:rPr>
              <w:t>6</w:t>
            </w:r>
            <w:r w:rsidR="00093036" w:rsidRPr="00093036">
              <w:rPr>
                <w:rFonts w:eastAsia="Times New Roman" w:cs="Arial"/>
                <w:color w:val="FF0000"/>
                <w:sz w:val="24"/>
                <w:szCs w:val="24"/>
                <w:lang w:eastAsia="en-GB"/>
              </w:rPr>
              <w:t>)</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DPOW Estates Rationalisation</w:t>
            </w:r>
          </w:p>
        </w:tc>
        <w:tc>
          <w:tcPr>
            <w:tcW w:w="698" w:type="pct"/>
            <w:tcBorders>
              <w:top w:val="nil"/>
              <w:left w:val="nil"/>
              <w:bottom w:val="nil"/>
              <w:right w:val="single" w:sz="8" w:space="0" w:color="auto"/>
            </w:tcBorders>
            <w:shd w:val="clear" w:color="auto" w:fill="auto"/>
            <w:vAlign w:val="bottom"/>
            <w:hideMark/>
          </w:tcPr>
          <w:p w:rsidR="00093036" w:rsidRPr="00497CEF" w:rsidRDefault="000F47A3" w:rsidP="00093036">
            <w:pPr>
              <w:jc w:val="center"/>
              <w:rPr>
                <w:rFonts w:eastAsia="Times New Roman" w:cs="Arial"/>
                <w:sz w:val="24"/>
                <w:szCs w:val="24"/>
                <w:lang w:eastAsia="en-GB"/>
              </w:rPr>
            </w:pPr>
            <w:r w:rsidRPr="00497CEF">
              <w:rPr>
                <w:rFonts w:eastAsia="Times New Roman" w:cs="Arial"/>
                <w:sz w:val="24"/>
                <w:szCs w:val="24"/>
                <w:lang w:eastAsia="en-GB"/>
              </w:rPr>
              <w:t>0.71</w:t>
            </w:r>
          </w:p>
        </w:tc>
        <w:tc>
          <w:tcPr>
            <w:tcW w:w="698" w:type="pct"/>
            <w:tcBorders>
              <w:top w:val="nil"/>
              <w:left w:val="nil"/>
              <w:bottom w:val="nil"/>
              <w:right w:val="single" w:sz="8" w:space="0" w:color="auto"/>
            </w:tcBorders>
            <w:shd w:val="clear" w:color="auto" w:fill="auto"/>
            <w:vAlign w:val="bottom"/>
            <w:hideMark/>
          </w:tcPr>
          <w:p w:rsidR="00093036" w:rsidRPr="00497CEF" w:rsidRDefault="000F47A3" w:rsidP="000F47A3">
            <w:pPr>
              <w:jc w:val="center"/>
              <w:rPr>
                <w:rFonts w:eastAsia="Times New Roman" w:cs="Arial"/>
                <w:sz w:val="24"/>
                <w:szCs w:val="24"/>
                <w:lang w:eastAsia="en-GB"/>
              </w:rPr>
            </w:pPr>
            <w:r w:rsidRPr="00497CEF">
              <w:rPr>
                <w:rFonts w:eastAsia="Times New Roman" w:cs="Arial"/>
                <w:sz w:val="24"/>
                <w:szCs w:val="24"/>
                <w:lang w:eastAsia="en-GB"/>
              </w:rPr>
              <w:t>0.71</w:t>
            </w:r>
          </w:p>
        </w:tc>
        <w:tc>
          <w:tcPr>
            <w:tcW w:w="697" w:type="pct"/>
            <w:tcBorders>
              <w:top w:val="nil"/>
              <w:left w:val="nil"/>
              <w:bottom w:val="nil"/>
              <w:right w:val="single" w:sz="8" w:space="0" w:color="auto"/>
            </w:tcBorders>
            <w:shd w:val="clear" w:color="auto" w:fill="auto"/>
            <w:vAlign w:val="bottom"/>
            <w:hideMark/>
          </w:tcPr>
          <w:p w:rsidR="00093036" w:rsidRPr="00497CEF" w:rsidRDefault="000F47A3" w:rsidP="00093036">
            <w:pPr>
              <w:jc w:val="center"/>
              <w:rPr>
                <w:rFonts w:eastAsia="Times New Roman" w:cs="Arial"/>
                <w:sz w:val="24"/>
                <w:szCs w:val="24"/>
                <w:lang w:eastAsia="en-GB"/>
              </w:rPr>
            </w:pPr>
            <w:r w:rsidRPr="00497CEF">
              <w:rPr>
                <w:rFonts w:eastAsia="Times New Roman" w:cs="Arial"/>
                <w:sz w:val="24"/>
                <w:szCs w:val="24"/>
                <w:lang w:eastAsia="en-GB"/>
              </w:rPr>
              <w:t>0.39</w:t>
            </w:r>
          </w:p>
        </w:tc>
        <w:tc>
          <w:tcPr>
            <w:tcW w:w="734" w:type="pct"/>
            <w:tcBorders>
              <w:top w:val="nil"/>
              <w:left w:val="nil"/>
              <w:bottom w:val="nil"/>
              <w:right w:val="single" w:sz="12" w:space="0" w:color="auto"/>
            </w:tcBorders>
            <w:shd w:val="clear" w:color="auto" w:fill="auto"/>
            <w:vAlign w:val="bottom"/>
            <w:hideMark/>
          </w:tcPr>
          <w:p w:rsidR="00093036" w:rsidRPr="00497CEF" w:rsidRDefault="000F47A3" w:rsidP="00093036">
            <w:pPr>
              <w:jc w:val="center"/>
              <w:rPr>
                <w:rFonts w:eastAsia="Times New Roman" w:cs="Arial"/>
                <w:sz w:val="24"/>
                <w:szCs w:val="24"/>
                <w:lang w:eastAsia="en-GB"/>
              </w:rPr>
            </w:pPr>
            <w:r w:rsidRPr="00497CEF">
              <w:rPr>
                <w:rFonts w:eastAsia="Times New Roman" w:cs="Arial"/>
                <w:color w:val="FF0000"/>
                <w:sz w:val="24"/>
                <w:szCs w:val="24"/>
                <w:lang w:eastAsia="en-GB"/>
              </w:rPr>
              <w:t>(0.32)</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Residences Development</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10.08</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F47A3">
            <w:pPr>
              <w:jc w:val="center"/>
              <w:rPr>
                <w:rFonts w:eastAsia="Times New Roman" w:cs="Arial"/>
                <w:sz w:val="24"/>
                <w:szCs w:val="24"/>
                <w:lang w:eastAsia="en-GB"/>
              </w:rPr>
            </w:pPr>
            <w:r>
              <w:rPr>
                <w:rFonts w:eastAsia="Times New Roman" w:cs="Arial"/>
                <w:sz w:val="24"/>
                <w:szCs w:val="24"/>
                <w:lang w:eastAsia="en-GB"/>
              </w:rPr>
              <w:t>6.20</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color w:val="000000"/>
                <w:sz w:val="24"/>
                <w:szCs w:val="24"/>
                <w:lang w:eastAsia="en-GB"/>
              </w:rPr>
            </w:pPr>
            <w:r>
              <w:rPr>
                <w:rFonts w:eastAsia="Times New Roman" w:cs="Arial"/>
                <w:color w:val="000000"/>
                <w:sz w:val="24"/>
                <w:szCs w:val="24"/>
                <w:lang w:eastAsia="en-GB"/>
              </w:rPr>
              <w:t>6.60</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F47A3">
            <w:pPr>
              <w:jc w:val="center"/>
              <w:rPr>
                <w:rFonts w:eastAsia="Times New Roman" w:cs="Arial"/>
                <w:sz w:val="24"/>
                <w:szCs w:val="24"/>
                <w:lang w:eastAsia="en-GB"/>
              </w:rPr>
            </w:pPr>
            <w:r w:rsidRPr="000F47A3">
              <w:rPr>
                <w:rFonts w:eastAsia="Times New Roman" w:cs="Arial"/>
                <w:sz w:val="24"/>
                <w:szCs w:val="24"/>
                <w:lang w:eastAsia="en-GB"/>
              </w:rPr>
              <w:t>0.40</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 </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7"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734" w:type="pct"/>
            <w:tcBorders>
              <w:top w:val="nil"/>
              <w:left w:val="nil"/>
              <w:bottom w:val="nil"/>
              <w:right w:val="single" w:sz="12"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Facilities Maintenance Programme</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1.58</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0.14</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0.18</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F47A3">
            <w:pPr>
              <w:jc w:val="center"/>
              <w:rPr>
                <w:rFonts w:eastAsia="Times New Roman" w:cs="Arial"/>
                <w:sz w:val="24"/>
                <w:szCs w:val="24"/>
                <w:lang w:eastAsia="en-GB"/>
              </w:rPr>
            </w:pPr>
            <w:r w:rsidRPr="000F47A3">
              <w:rPr>
                <w:rFonts w:eastAsia="Times New Roman" w:cs="Arial"/>
                <w:sz w:val="24"/>
                <w:szCs w:val="24"/>
                <w:lang w:eastAsia="en-GB"/>
              </w:rPr>
              <w:t>0.04</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IM&amp;T Programme</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1.70</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0.05</w:t>
            </w:r>
          </w:p>
        </w:tc>
        <w:tc>
          <w:tcPr>
            <w:tcW w:w="697"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0.04</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sidRPr="000F47A3">
              <w:rPr>
                <w:rFonts w:eastAsia="Times New Roman" w:cs="Arial"/>
                <w:color w:val="FF0000"/>
                <w:sz w:val="24"/>
                <w:szCs w:val="24"/>
                <w:lang w:eastAsia="en-GB"/>
              </w:rPr>
              <w:t>(0.01)</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Equipment Renewal Programme</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1.64</w:t>
            </w:r>
          </w:p>
        </w:tc>
        <w:tc>
          <w:tcPr>
            <w:tcW w:w="698"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0.19</w:t>
            </w:r>
          </w:p>
        </w:tc>
        <w:tc>
          <w:tcPr>
            <w:tcW w:w="697" w:type="pct"/>
            <w:tcBorders>
              <w:top w:val="nil"/>
              <w:left w:val="nil"/>
              <w:bottom w:val="nil"/>
              <w:right w:val="single" w:sz="8"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sz w:val="24"/>
                <w:szCs w:val="24"/>
                <w:lang w:eastAsia="en-GB"/>
              </w:rPr>
              <w:t>0.17</w:t>
            </w:r>
          </w:p>
        </w:tc>
        <w:tc>
          <w:tcPr>
            <w:tcW w:w="734" w:type="pct"/>
            <w:tcBorders>
              <w:top w:val="nil"/>
              <w:left w:val="nil"/>
              <w:bottom w:val="nil"/>
              <w:right w:val="single" w:sz="12" w:space="0" w:color="auto"/>
            </w:tcBorders>
            <w:shd w:val="clear" w:color="auto" w:fill="auto"/>
            <w:vAlign w:val="bottom"/>
            <w:hideMark/>
          </w:tcPr>
          <w:p w:rsidR="00093036" w:rsidRPr="00093036" w:rsidRDefault="000F47A3" w:rsidP="00093036">
            <w:pPr>
              <w:jc w:val="center"/>
              <w:rPr>
                <w:rFonts w:eastAsia="Times New Roman" w:cs="Arial"/>
                <w:sz w:val="24"/>
                <w:szCs w:val="24"/>
                <w:lang w:eastAsia="en-GB"/>
              </w:rPr>
            </w:pPr>
            <w:r>
              <w:rPr>
                <w:rFonts w:eastAsia="Times New Roman" w:cs="Arial"/>
                <w:color w:val="FF0000"/>
                <w:sz w:val="24"/>
                <w:szCs w:val="24"/>
                <w:lang w:eastAsia="en-GB"/>
              </w:rPr>
              <w:t>(0.02</w:t>
            </w:r>
            <w:r w:rsidR="00093036" w:rsidRPr="00093036">
              <w:rPr>
                <w:rFonts w:eastAsia="Times New Roman" w:cs="Arial"/>
                <w:color w:val="FF0000"/>
                <w:sz w:val="24"/>
                <w:szCs w:val="24"/>
                <w:lang w:eastAsia="en-GB"/>
              </w:rPr>
              <w:t>)</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 </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697"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c>
          <w:tcPr>
            <w:tcW w:w="734" w:type="pct"/>
            <w:tcBorders>
              <w:top w:val="nil"/>
              <w:left w:val="nil"/>
              <w:bottom w:val="nil"/>
              <w:right w:val="single" w:sz="12"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 </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Donated</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1.34</w:t>
            </w:r>
          </w:p>
        </w:tc>
        <w:tc>
          <w:tcPr>
            <w:tcW w:w="698"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color w:val="000000"/>
                <w:sz w:val="24"/>
                <w:szCs w:val="24"/>
                <w:lang w:eastAsia="en-GB"/>
              </w:rPr>
            </w:pPr>
            <w:r w:rsidRPr="00093036">
              <w:rPr>
                <w:rFonts w:eastAsia="Times New Roman" w:cs="Arial"/>
                <w:color w:val="000000"/>
                <w:sz w:val="24"/>
                <w:szCs w:val="24"/>
                <w:lang w:eastAsia="en-GB"/>
              </w:rPr>
              <w:t>0.09</w:t>
            </w:r>
          </w:p>
        </w:tc>
        <w:tc>
          <w:tcPr>
            <w:tcW w:w="697" w:type="pct"/>
            <w:tcBorders>
              <w:top w:val="nil"/>
              <w:left w:val="nil"/>
              <w:bottom w:val="nil"/>
              <w:right w:val="single" w:sz="8"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sz w:val="24"/>
                <w:szCs w:val="24"/>
                <w:lang w:eastAsia="en-GB"/>
              </w:rPr>
              <w:t>0.00</w:t>
            </w:r>
          </w:p>
        </w:tc>
        <w:tc>
          <w:tcPr>
            <w:tcW w:w="734" w:type="pct"/>
            <w:tcBorders>
              <w:top w:val="nil"/>
              <w:left w:val="nil"/>
              <w:bottom w:val="nil"/>
              <w:right w:val="single" w:sz="12" w:space="0" w:color="auto"/>
            </w:tcBorders>
            <w:shd w:val="clear" w:color="auto" w:fill="auto"/>
            <w:vAlign w:val="bottom"/>
            <w:hideMark/>
          </w:tcPr>
          <w:p w:rsidR="00093036" w:rsidRPr="00093036" w:rsidRDefault="00093036" w:rsidP="00093036">
            <w:pPr>
              <w:jc w:val="center"/>
              <w:rPr>
                <w:rFonts w:eastAsia="Times New Roman" w:cs="Arial"/>
                <w:sz w:val="24"/>
                <w:szCs w:val="24"/>
                <w:lang w:eastAsia="en-GB"/>
              </w:rPr>
            </w:pPr>
            <w:r w:rsidRPr="00093036">
              <w:rPr>
                <w:rFonts w:eastAsia="Times New Roman" w:cs="Arial"/>
                <w:color w:val="FF0000"/>
                <w:sz w:val="24"/>
                <w:szCs w:val="24"/>
                <w:lang w:eastAsia="en-GB"/>
              </w:rPr>
              <w:t>(0.09)</w:t>
            </w:r>
          </w:p>
        </w:tc>
      </w:tr>
      <w:tr w:rsidR="00093036" w:rsidRPr="00093036" w:rsidTr="000F47A3">
        <w:trPr>
          <w:trHeight w:val="315"/>
        </w:trPr>
        <w:tc>
          <w:tcPr>
            <w:tcW w:w="2173" w:type="pct"/>
            <w:tcBorders>
              <w:top w:val="single" w:sz="4" w:space="0" w:color="auto"/>
              <w:left w:val="single" w:sz="12" w:space="0" w:color="auto"/>
              <w:bottom w:val="single" w:sz="4" w:space="0" w:color="auto"/>
              <w:right w:val="single" w:sz="8" w:space="0" w:color="auto"/>
            </w:tcBorders>
            <w:shd w:val="clear" w:color="auto" w:fill="auto"/>
            <w:vAlign w:val="bottom"/>
            <w:hideMark/>
          </w:tcPr>
          <w:p w:rsidR="00093036" w:rsidRPr="00093036" w:rsidRDefault="00093036" w:rsidP="00093036">
            <w:pPr>
              <w:jc w:val="left"/>
              <w:rPr>
                <w:rFonts w:eastAsia="Times New Roman" w:cs="Arial"/>
                <w:b/>
                <w:bCs/>
                <w:sz w:val="24"/>
                <w:szCs w:val="24"/>
                <w:lang w:eastAsia="en-GB"/>
              </w:rPr>
            </w:pPr>
            <w:r w:rsidRPr="00093036">
              <w:rPr>
                <w:rFonts w:eastAsia="Times New Roman" w:cs="Arial"/>
                <w:b/>
                <w:bCs/>
                <w:sz w:val="24"/>
                <w:szCs w:val="24"/>
                <w:lang w:eastAsia="en-GB"/>
              </w:rPr>
              <w:t>Capital Programme Total</w:t>
            </w:r>
          </w:p>
        </w:tc>
        <w:tc>
          <w:tcPr>
            <w:tcW w:w="698" w:type="pct"/>
            <w:tcBorders>
              <w:top w:val="single" w:sz="4" w:space="0" w:color="auto"/>
              <w:left w:val="nil"/>
              <w:bottom w:val="single" w:sz="4" w:space="0" w:color="auto"/>
              <w:right w:val="single" w:sz="8" w:space="0" w:color="auto"/>
            </w:tcBorders>
            <w:shd w:val="clear" w:color="auto" w:fill="auto"/>
            <w:vAlign w:val="bottom"/>
            <w:hideMark/>
          </w:tcPr>
          <w:p w:rsidR="00093036" w:rsidRPr="00093036" w:rsidRDefault="00093036" w:rsidP="00093036">
            <w:pPr>
              <w:jc w:val="center"/>
              <w:rPr>
                <w:rFonts w:eastAsia="Times New Roman" w:cs="Arial"/>
                <w:b/>
                <w:bCs/>
                <w:sz w:val="24"/>
                <w:szCs w:val="24"/>
                <w:lang w:eastAsia="en-GB"/>
              </w:rPr>
            </w:pPr>
            <w:r w:rsidRPr="00093036">
              <w:rPr>
                <w:rFonts w:eastAsia="Times New Roman" w:cs="Arial"/>
                <w:b/>
                <w:bCs/>
                <w:sz w:val="24"/>
                <w:szCs w:val="24"/>
                <w:lang w:eastAsia="en-GB"/>
              </w:rPr>
              <w:t>21.40</w:t>
            </w:r>
          </w:p>
        </w:tc>
        <w:tc>
          <w:tcPr>
            <w:tcW w:w="698" w:type="pct"/>
            <w:tcBorders>
              <w:top w:val="single" w:sz="4" w:space="0" w:color="auto"/>
              <w:left w:val="nil"/>
              <w:bottom w:val="single" w:sz="4" w:space="0" w:color="auto"/>
              <w:right w:val="single" w:sz="8" w:space="0" w:color="auto"/>
            </w:tcBorders>
            <w:shd w:val="clear" w:color="auto" w:fill="auto"/>
            <w:vAlign w:val="bottom"/>
            <w:hideMark/>
          </w:tcPr>
          <w:p w:rsidR="00093036" w:rsidRPr="00093036" w:rsidRDefault="000642C3" w:rsidP="00093036">
            <w:pPr>
              <w:jc w:val="center"/>
              <w:rPr>
                <w:rFonts w:eastAsia="Times New Roman" w:cs="Arial"/>
                <w:b/>
                <w:bCs/>
                <w:sz w:val="24"/>
                <w:szCs w:val="24"/>
                <w:lang w:eastAsia="en-GB"/>
              </w:rPr>
            </w:pPr>
            <w:r>
              <w:rPr>
                <w:rFonts w:eastAsia="Times New Roman" w:cs="Arial"/>
                <w:b/>
                <w:bCs/>
                <w:sz w:val="24"/>
                <w:szCs w:val="24"/>
                <w:lang w:eastAsia="en-GB"/>
              </w:rPr>
              <w:t>8.65</w:t>
            </w:r>
          </w:p>
        </w:tc>
        <w:tc>
          <w:tcPr>
            <w:tcW w:w="697" w:type="pct"/>
            <w:tcBorders>
              <w:top w:val="single" w:sz="4" w:space="0" w:color="auto"/>
              <w:left w:val="nil"/>
              <w:bottom w:val="single" w:sz="4" w:space="0" w:color="auto"/>
              <w:right w:val="single" w:sz="8" w:space="0" w:color="auto"/>
            </w:tcBorders>
            <w:shd w:val="clear" w:color="auto" w:fill="auto"/>
            <w:vAlign w:val="bottom"/>
            <w:hideMark/>
          </w:tcPr>
          <w:p w:rsidR="00093036" w:rsidRPr="00093036" w:rsidRDefault="000642C3" w:rsidP="00093036">
            <w:pPr>
              <w:jc w:val="center"/>
              <w:rPr>
                <w:rFonts w:eastAsia="Times New Roman" w:cs="Arial"/>
                <w:b/>
                <w:bCs/>
                <w:sz w:val="24"/>
                <w:szCs w:val="24"/>
                <w:lang w:eastAsia="en-GB"/>
              </w:rPr>
            </w:pPr>
            <w:r>
              <w:rPr>
                <w:rFonts w:eastAsia="Times New Roman" w:cs="Arial"/>
                <w:b/>
                <w:bCs/>
                <w:sz w:val="24"/>
                <w:szCs w:val="24"/>
                <w:lang w:eastAsia="en-GB"/>
              </w:rPr>
              <w:t>8.31</w:t>
            </w:r>
          </w:p>
        </w:tc>
        <w:tc>
          <w:tcPr>
            <w:tcW w:w="734" w:type="pct"/>
            <w:tcBorders>
              <w:top w:val="single" w:sz="4" w:space="0" w:color="auto"/>
              <w:left w:val="nil"/>
              <w:bottom w:val="single" w:sz="4" w:space="0" w:color="auto"/>
              <w:right w:val="single" w:sz="12" w:space="0" w:color="auto"/>
            </w:tcBorders>
            <w:shd w:val="clear" w:color="auto" w:fill="auto"/>
            <w:vAlign w:val="bottom"/>
            <w:hideMark/>
          </w:tcPr>
          <w:p w:rsidR="00093036" w:rsidRPr="00093036" w:rsidRDefault="000642C3" w:rsidP="00093036">
            <w:pPr>
              <w:jc w:val="center"/>
              <w:rPr>
                <w:rFonts w:eastAsia="Times New Roman" w:cs="Arial"/>
                <w:b/>
                <w:bCs/>
                <w:sz w:val="24"/>
                <w:szCs w:val="24"/>
                <w:lang w:eastAsia="en-GB"/>
              </w:rPr>
            </w:pPr>
            <w:r>
              <w:rPr>
                <w:rFonts w:eastAsia="Times New Roman" w:cs="Arial"/>
                <w:b/>
                <w:bCs/>
                <w:color w:val="FF0000"/>
                <w:sz w:val="24"/>
                <w:szCs w:val="24"/>
                <w:lang w:eastAsia="en-GB"/>
              </w:rPr>
              <w:t>(0.34</w:t>
            </w:r>
            <w:r w:rsidR="00093036" w:rsidRPr="00093036">
              <w:rPr>
                <w:rFonts w:eastAsia="Times New Roman" w:cs="Arial"/>
                <w:b/>
                <w:bCs/>
                <w:color w:val="FF0000"/>
                <w:sz w:val="24"/>
                <w:szCs w:val="24"/>
                <w:lang w:eastAsia="en-GB"/>
              </w:rPr>
              <w:t>)</w:t>
            </w:r>
          </w:p>
        </w:tc>
      </w:tr>
      <w:tr w:rsidR="00093036" w:rsidRPr="00093036" w:rsidTr="000F47A3">
        <w:trPr>
          <w:trHeight w:val="300"/>
        </w:trPr>
        <w:tc>
          <w:tcPr>
            <w:tcW w:w="2173" w:type="pct"/>
            <w:tcBorders>
              <w:top w:val="nil"/>
              <w:left w:val="single" w:sz="12" w:space="0" w:color="auto"/>
              <w:bottom w:val="nil"/>
              <w:right w:val="single" w:sz="8" w:space="0" w:color="auto"/>
            </w:tcBorders>
            <w:shd w:val="clear" w:color="auto" w:fill="auto"/>
            <w:vAlign w:val="bottom"/>
            <w:hideMark/>
          </w:tcPr>
          <w:p w:rsidR="00093036" w:rsidRPr="00093036" w:rsidRDefault="00093036" w:rsidP="00093036">
            <w:pPr>
              <w:jc w:val="left"/>
              <w:rPr>
                <w:rFonts w:eastAsia="Times New Roman" w:cs="Arial"/>
                <w:sz w:val="24"/>
                <w:szCs w:val="24"/>
                <w:lang w:eastAsia="en-GB"/>
              </w:rPr>
            </w:pPr>
            <w:r w:rsidRPr="00093036">
              <w:rPr>
                <w:rFonts w:eastAsia="Times New Roman" w:cs="Arial"/>
                <w:sz w:val="24"/>
                <w:szCs w:val="24"/>
                <w:lang w:eastAsia="en-GB"/>
              </w:rPr>
              <w:t>Net Shift In Capital Creditors</w:t>
            </w:r>
          </w:p>
        </w:tc>
        <w:tc>
          <w:tcPr>
            <w:tcW w:w="698" w:type="pct"/>
            <w:tcBorders>
              <w:top w:val="nil"/>
              <w:left w:val="nil"/>
              <w:bottom w:val="nil"/>
              <w:right w:val="single" w:sz="8" w:space="0" w:color="auto"/>
            </w:tcBorders>
            <w:shd w:val="clear" w:color="auto" w:fill="auto"/>
            <w:vAlign w:val="bottom"/>
            <w:hideMark/>
          </w:tcPr>
          <w:p w:rsidR="00093036" w:rsidRPr="00497CEF" w:rsidRDefault="00093036" w:rsidP="00093036">
            <w:pPr>
              <w:jc w:val="center"/>
              <w:rPr>
                <w:rFonts w:eastAsia="Times New Roman" w:cs="Arial"/>
                <w:sz w:val="24"/>
                <w:szCs w:val="24"/>
                <w:lang w:eastAsia="en-GB"/>
              </w:rPr>
            </w:pPr>
            <w:r w:rsidRPr="00497CEF">
              <w:rPr>
                <w:rFonts w:eastAsia="Times New Roman" w:cs="Arial"/>
                <w:sz w:val="24"/>
                <w:szCs w:val="24"/>
                <w:lang w:eastAsia="en-GB"/>
              </w:rPr>
              <w:t>3.48</w:t>
            </w:r>
          </w:p>
        </w:tc>
        <w:tc>
          <w:tcPr>
            <w:tcW w:w="698" w:type="pct"/>
            <w:tcBorders>
              <w:top w:val="nil"/>
              <w:left w:val="nil"/>
              <w:bottom w:val="nil"/>
              <w:right w:val="single" w:sz="8" w:space="0" w:color="auto"/>
            </w:tcBorders>
            <w:shd w:val="clear" w:color="auto" w:fill="auto"/>
            <w:vAlign w:val="bottom"/>
            <w:hideMark/>
          </w:tcPr>
          <w:p w:rsidR="00093036" w:rsidRPr="00497CEF" w:rsidRDefault="00093036" w:rsidP="00497CEF">
            <w:pPr>
              <w:jc w:val="center"/>
              <w:rPr>
                <w:rFonts w:eastAsia="Times New Roman" w:cs="Arial"/>
                <w:sz w:val="24"/>
                <w:szCs w:val="24"/>
                <w:lang w:eastAsia="en-GB"/>
              </w:rPr>
            </w:pPr>
            <w:r w:rsidRPr="00497CEF">
              <w:rPr>
                <w:rFonts w:eastAsia="Times New Roman" w:cs="Arial"/>
                <w:color w:val="FF0000"/>
                <w:sz w:val="24"/>
                <w:szCs w:val="24"/>
                <w:lang w:eastAsia="en-GB"/>
              </w:rPr>
              <w:t>(0.</w:t>
            </w:r>
            <w:r w:rsidR="00497CEF" w:rsidRPr="00497CEF">
              <w:rPr>
                <w:rFonts w:eastAsia="Times New Roman" w:cs="Arial"/>
                <w:color w:val="FF0000"/>
                <w:sz w:val="24"/>
                <w:szCs w:val="24"/>
                <w:lang w:eastAsia="en-GB"/>
              </w:rPr>
              <w:t>98</w:t>
            </w:r>
            <w:r w:rsidRPr="00497CEF">
              <w:rPr>
                <w:rFonts w:eastAsia="Times New Roman" w:cs="Arial"/>
                <w:color w:val="FF0000"/>
                <w:sz w:val="24"/>
                <w:szCs w:val="24"/>
                <w:lang w:eastAsia="en-GB"/>
              </w:rPr>
              <w:t>)</w:t>
            </w:r>
          </w:p>
        </w:tc>
        <w:tc>
          <w:tcPr>
            <w:tcW w:w="697" w:type="pct"/>
            <w:tcBorders>
              <w:top w:val="nil"/>
              <w:left w:val="nil"/>
              <w:bottom w:val="nil"/>
              <w:right w:val="single" w:sz="8" w:space="0" w:color="auto"/>
            </w:tcBorders>
            <w:shd w:val="clear" w:color="auto" w:fill="auto"/>
            <w:vAlign w:val="bottom"/>
            <w:hideMark/>
          </w:tcPr>
          <w:p w:rsidR="00093036" w:rsidRPr="00497CEF" w:rsidRDefault="00093036" w:rsidP="00497CEF">
            <w:pPr>
              <w:jc w:val="center"/>
              <w:rPr>
                <w:rFonts w:eastAsia="Times New Roman" w:cs="Arial"/>
                <w:sz w:val="24"/>
                <w:szCs w:val="24"/>
                <w:lang w:eastAsia="en-GB"/>
              </w:rPr>
            </w:pPr>
            <w:r w:rsidRPr="00497CEF">
              <w:rPr>
                <w:rFonts w:eastAsia="Times New Roman" w:cs="Arial"/>
                <w:color w:val="FF0000"/>
                <w:sz w:val="24"/>
                <w:szCs w:val="24"/>
                <w:lang w:eastAsia="en-GB"/>
              </w:rPr>
              <w:t>(</w:t>
            </w:r>
            <w:r w:rsidR="00497CEF" w:rsidRPr="00497CEF">
              <w:rPr>
                <w:rFonts w:eastAsia="Times New Roman" w:cs="Arial"/>
                <w:color w:val="FF0000"/>
                <w:sz w:val="24"/>
                <w:szCs w:val="24"/>
                <w:lang w:eastAsia="en-GB"/>
              </w:rPr>
              <w:t>1</w:t>
            </w:r>
            <w:r w:rsidRPr="00497CEF">
              <w:rPr>
                <w:rFonts w:eastAsia="Times New Roman" w:cs="Arial"/>
                <w:color w:val="FF0000"/>
                <w:sz w:val="24"/>
                <w:szCs w:val="24"/>
                <w:lang w:eastAsia="en-GB"/>
              </w:rPr>
              <w:t>.</w:t>
            </w:r>
            <w:r w:rsidR="00497CEF" w:rsidRPr="00497CEF">
              <w:rPr>
                <w:rFonts w:eastAsia="Times New Roman" w:cs="Arial"/>
                <w:color w:val="FF0000"/>
                <w:sz w:val="24"/>
                <w:szCs w:val="24"/>
                <w:lang w:eastAsia="en-GB"/>
              </w:rPr>
              <w:t>14</w:t>
            </w:r>
            <w:r w:rsidRPr="00497CEF">
              <w:rPr>
                <w:rFonts w:eastAsia="Times New Roman" w:cs="Arial"/>
                <w:color w:val="FF0000"/>
                <w:sz w:val="24"/>
                <w:szCs w:val="24"/>
                <w:lang w:eastAsia="en-GB"/>
              </w:rPr>
              <w:t>)</w:t>
            </w:r>
          </w:p>
        </w:tc>
        <w:tc>
          <w:tcPr>
            <w:tcW w:w="734" w:type="pct"/>
            <w:tcBorders>
              <w:top w:val="nil"/>
              <w:left w:val="nil"/>
              <w:bottom w:val="nil"/>
              <w:right w:val="single" w:sz="12" w:space="0" w:color="auto"/>
            </w:tcBorders>
            <w:shd w:val="clear" w:color="auto" w:fill="auto"/>
            <w:vAlign w:val="bottom"/>
            <w:hideMark/>
          </w:tcPr>
          <w:p w:rsidR="00093036" w:rsidRPr="00497CEF" w:rsidRDefault="00093036" w:rsidP="00497CEF">
            <w:pPr>
              <w:jc w:val="center"/>
              <w:rPr>
                <w:rFonts w:eastAsia="Times New Roman" w:cs="Arial"/>
                <w:sz w:val="24"/>
                <w:szCs w:val="24"/>
                <w:lang w:eastAsia="en-GB"/>
              </w:rPr>
            </w:pPr>
            <w:r w:rsidRPr="00497CEF">
              <w:rPr>
                <w:rFonts w:eastAsia="Times New Roman" w:cs="Arial"/>
                <w:color w:val="FF0000"/>
                <w:sz w:val="24"/>
                <w:szCs w:val="24"/>
                <w:lang w:eastAsia="en-GB"/>
              </w:rPr>
              <w:t>(</w:t>
            </w:r>
            <w:r w:rsidR="00497CEF" w:rsidRPr="00497CEF">
              <w:rPr>
                <w:rFonts w:eastAsia="Times New Roman" w:cs="Arial"/>
                <w:color w:val="FF0000"/>
                <w:sz w:val="24"/>
                <w:szCs w:val="24"/>
                <w:lang w:eastAsia="en-GB"/>
              </w:rPr>
              <w:t>0</w:t>
            </w:r>
            <w:r w:rsidRPr="00497CEF">
              <w:rPr>
                <w:rFonts w:eastAsia="Times New Roman" w:cs="Arial"/>
                <w:color w:val="FF0000"/>
                <w:sz w:val="24"/>
                <w:szCs w:val="24"/>
                <w:lang w:eastAsia="en-GB"/>
              </w:rPr>
              <w:t>.</w:t>
            </w:r>
            <w:r w:rsidR="00497CEF" w:rsidRPr="00497CEF">
              <w:rPr>
                <w:rFonts w:eastAsia="Times New Roman" w:cs="Arial"/>
                <w:color w:val="FF0000"/>
                <w:sz w:val="24"/>
                <w:szCs w:val="24"/>
                <w:lang w:eastAsia="en-GB"/>
              </w:rPr>
              <w:t>1</w:t>
            </w:r>
            <w:r w:rsidRPr="00497CEF">
              <w:rPr>
                <w:rFonts w:eastAsia="Times New Roman" w:cs="Arial"/>
                <w:color w:val="FF0000"/>
                <w:sz w:val="24"/>
                <w:szCs w:val="24"/>
                <w:lang w:eastAsia="en-GB"/>
              </w:rPr>
              <w:t>7)</w:t>
            </w:r>
          </w:p>
        </w:tc>
      </w:tr>
      <w:tr w:rsidR="00093036" w:rsidRPr="00093036" w:rsidTr="000642C3">
        <w:trPr>
          <w:trHeight w:val="330"/>
        </w:trPr>
        <w:tc>
          <w:tcPr>
            <w:tcW w:w="2173" w:type="pct"/>
            <w:tcBorders>
              <w:top w:val="single" w:sz="4" w:space="0" w:color="auto"/>
              <w:left w:val="single" w:sz="12" w:space="0" w:color="auto"/>
              <w:bottom w:val="single" w:sz="12" w:space="0" w:color="auto"/>
              <w:right w:val="single" w:sz="8" w:space="0" w:color="auto"/>
            </w:tcBorders>
            <w:shd w:val="clear" w:color="auto" w:fill="auto"/>
            <w:vAlign w:val="bottom"/>
            <w:hideMark/>
          </w:tcPr>
          <w:p w:rsidR="00093036" w:rsidRPr="00093036" w:rsidRDefault="00093036" w:rsidP="00093036">
            <w:pPr>
              <w:jc w:val="left"/>
              <w:rPr>
                <w:rFonts w:eastAsia="Times New Roman" w:cs="Arial"/>
                <w:b/>
                <w:bCs/>
                <w:sz w:val="24"/>
                <w:szCs w:val="24"/>
                <w:lang w:eastAsia="en-GB"/>
              </w:rPr>
            </w:pPr>
            <w:r w:rsidRPr="00093036">
              <w:rPr>
                <w:rFonts w:eastAsia="Times New Roman" w:cs="Arial"/>
                <w:b/>
                <w:bCs/>
                <w:sz w:val="24"/>
                <w:szCs w:val="24"/>
                <w:lang w:eastAsia="en-GB"/>
              </w:rPr>
              <w:t>Total Cash Impact Of Investment programme</w:t>
            </w:r>
          </w:p>
        </w:tc>
        <w:tc>
          <w:tcPr>
            <w:tcW w:w="698" w:type="pct"/>
            <w:tcBorders>
              <w:top w:val="single" w:sz="4" w:space="0" w:color="auto"/>
              <w:left w:val="nil"/>
              <w:bottom w:val="single" w:sz="12" w:space="0" w:color="auto"/>
              <w:right w:val="single" w:sz="8" w:space="0" w:color="auto"/>
            </w:tcBorders>
            <w:shd w:val="clear" w:color="auto" w:fill="auto"/>
            <w:vAlign w:val="center"/>
            <w:hideMark/>
          </w:tcPr>
          <w:p w:rsidR="00093036" w:rsidRPr="00497CEF" w:rsidRDefault="00093036" w:rsidP="000642C3">
            <w:pPr>
              <w:jc w:val="center"/>
              <w:rPr>
                <w:rFonts w:eastAsia="Times New Roman" w:cs="Arial"/>
                <w:b/>
                <w:bCs/>
                <w:sz w:val="24"/>
                <w:szCs w:val="24"/>
                <w:lang w:eastAsia="en-GB"/>
              </w:rPr>
            </w:pPr>
            <w:r w:rsidRPr="00497CEF">
              <w:rPr>
                <w:rFonts w:eastAsia="Times New Roman" w:cs="Arial"/>
                <w:b/>
                <w:bCs/>
                <w:color w:val="FF0000"/>
                <w:sz w:val="24"/>
                <w:szCs w:val="24"/>
                <w:lang w:eastAsia="en-GB"/>
              </w:rPr>
              <w:t>(17.92)</w:t>
            </w:r>
          </w:p>
        </w:tc>
        <w:tc>
          <w:tcPr>
            <w:tcW w:w="698" w:type="pct"/>
            <w:tcBorders>
              <w:top w:val="single" w:sz="4" w:space="0" w:color="auto"/>
              <w:left w:val="nil"/>
              <w:bottom w:val="single" w:sz="12" w:space="0" w:color="auto"/>
              <w:right w:val="single" w:sz="8" w:space="0" w:color="auto"/>
            </w:tcBorders>
            <w:shd w:val="clear" w:color="auto" w:fill="auto"/>
            <w:vAlign w:val="center"/>
            <w:hideMark/>
          </w:tcPr>
          <w:p w:rsidR="00093036" w:rsidRPr="00497CEF" w:rsidRDefault="00497CEF" w:rsidP="00497CEF">
            <w:pPr>
              <w:jc w:val="center"/>
              <w:rPr>
                <w:rFonts w:eastAsia="Times New Roman" w:cs="Arial"/>
                <w:b/>
                <w:bCs/>
                <w:sz w:val="24"/>
                <w:szCs w:val="24"/>
                <w:lang w:eastAsia="en-GB"/>
              </w:rPr>
            </w:pPr>
            <w:r w:rsidRPr="00497CEF">
              <w:rPr>
                <w:rFonts w:eastAsia="Times New Roman" w:cs="Arial"/>
                <w:b/>
                <w:bCs/>
                <w:sz w:val="24"/>
                <w:szCs w:val="24"/>
                <w:lang w:eastAsia="en-GB"/>
              </w:rPr>
              <w:t>7</w:t>
            </w:r>
            <w:r w:rsidR="00093036" w:rsidRPr="00497CEF">
              <w:rPr>
                <w:rFonts w:eastAsia="Times New Roman" w:cs="Arial"/>
                <w:b/>
                <w:bCs/>
                <w:sz w:val="24"/>
                <w:szCs w:val="24"/>
                <w:lang w:eastAsia="en-GB"/>
              </w:rPr>
              <w:t>.</w:t>
            </w:r>
            <w:r w:rsidRPr="00497CEF">
              <w:rPr>
                <w:rFonts w:eastAsia="Times New Roman" w:cs="Arial"/>
                <w:b/>
                <w:bCs/>
                <w:sz w:val="24"/>
                <w:szCs w:val="24"/>
                <w:lang w:eastAsia="en-GB"/>
              </w:rPr>
              <w:t>67</w:t>
            </w:r>
          </w:p>
        </w:tc>
        <w:tc>
          <w:tcPr>
            <w:tcW w:w="697" w:type="pct"/>
            <w:tcBorders>
              <w:top w:val="single" w:sz="4" w:space="0" w:color="auto"/>
              <w:left w:val="nil"/>
              <w:bottom w:val="single" w:sz="12" w:space="0" w:color="auto"/>
              <w:right w:val="single" w:sz="8" w:space="0" w:color="auto"/>
            </w:tcBorders>
            <w:shd w:val="clear" w:color="auto" w:fill="auto"/>
            <w:vAlign w:val="center"/>
            <w:hideMark/>
          </w:tcPr>
          <w:p w:rsidR="00093036" w:rsidRPr="00497CEF" w:rsidRDefault="00093036" w:rsidP="00497CEF">
            <w:pPr>
              <w:jc w:val="center"/>
              <w:rPr>
                <w:rFonts w:eastAsia="Times New Roman" w:cs="Arial"/>
                <w:b/>
                <w:bCs/>
                <w:sz w:val="24"/>
                <w:szCs w:val="24"/>
                <w:lang w:eastAsia="en-GB"/>
              </w:rPr>
            </w:pPr>
            <w:r w:rsidRPr="00497CEF">
              <w:rPr>
                <w:rFonts w:eastAsia="Times New Roman" w:cs="Arial"/>
                <w:b/>
                <w:bCs/>
                <w:color w:val="FF0000"/>
                <w:sz w:val="24"/>
                <w:szCs w:val="24"/>
                <w:lang w:eastAsia="en-GB"/>
              </w:rPr>
              <w:t>(</w:t>
            </w:r>
            <w:r w:rsidR="00497CEF" w:rsidRPr="00497CEF">
              <w:rPr>
                <w:rFonts w:eastAsia="Times New Roman" w:cs="Arial"/>
                <w:b/>
                <w:bCs/>
                <w:color w:val="FF0000"/>
                <w:sz w:val="24"/>
                <w:szCs w:val="24"/>
                <w:lang w:eastAsia="en-GB"/>
              </w:rPr>
              <w:t>9</w:t>
            </w:r>
            <w:r w:rsidRPr="00497CEF">
              <w:rPr>
                <w:rFonts w:eastAsia="Times New Roman" w:cs="Arial"/>
                <w:b/>
                <w:bCs/>
                <w:color w:val="FF0000"/>
                <w:sz w:val="24"/>
                <w:szCs w:val="24"/>
                <w:lang w:eastAsia="en-GB"/>
              </w:rPr>
              <w:t>.</w:t>
            </w:r>
            <w:r w:rsidR="00497CEF" w:rsidRPr="00497CEF">
              <w:rPr>
                <w:rFonts w:eastAsia="Times New Roman" w:cs="Arial"/>
                <w:b/>
                <w:bCs/>
                <w:color w:val="FF0000"/>
                <w:sz w:val="24"/>
                <w:szCs w:val="24"/>
                <w:lang w:eastAsia="en-GB"/>
              </w:rPr>
              <w:t>45</w:t>
            </w:r>
            <w:r w:rsidRPr="00497CEF">
              <w:rPr>
                <w:rFonts w:eastAsia="Times New Roman" w:cs="Arial"/>
                <w:b/>
                <w:bCs/>
                <w:color w:val="FF0000"/>
                <w:sz w:val="24"/>
                <w:szCs w:val="24"/>
                <w:lang w:eastAsia="en-GB"/>
              </w:rPr>
              <w:t>)</w:t>
            </w:r>
          </w:p>
        </w:tc>
        <w:tc>
          <w:tcPr>
            <w:tcW w:w="734" w:type="pct"/>
            <w:tcBorders>
              <w:top w:val="single" w:sz="4" w:space="0" w:color="auto"/>
              <w:left w:val="nil"/>
              <w:bottom w:val="single" w:sz="12" w:space="0" w:color="auto"/>
              <w:right w:val="single" w:sz="12" w:space="0" w:color="auto"/>
            </w:tcBorders>
            <w:shd w:val="clear" w:color="auto" w:fill="auto"/>
            <w:vAlign w:val="center"/>
            <w:hideMark/>
          </w:tcPr>
          <w:p w:rsidR="00093036" w:rsidRPr="00497CEF" w:rsidRDefault="00093036" w:rsidP="00497CEF">
            <w:pPr>
              <w:jc w:val="center"/>
              <w:rPr>
                <w:rFonts w:eastAsia="Times New Roman" w:cs="Arial"/>
                <w:b/>
                <w:bCs/>
                <w:sz w:val="24"/>
                <w:szCs w:val="24"/>
                <w:lang w:eastAsia="en-GB"/>
              </w:rPr>
            </w:pPr>
            <w:r w:rsidRPr="00497CEF">
              <w:rPr>
                <w:rFonts w:eastAsia="Times New Roman" w:cs="Arial"/>
                <w:b/>
                <w:bCs/>
                <w:color w:val="FF0000"/>
                <w:sz w:val="24"/>
                <w:szCs w:val="24"/>
                <w:lang w:eastAsia="en-GB"/>
              </w:rPr>
              <w:t>(</w:t>
            </w:r>
            <w:r w:rsidR="00497CEF" w:rsidRPr="00497CEF">
              <w:rPr>
                <w:rFonts w:eastAsia="Times New Roman" w:cs="Arial"/>
                <w:b/>
                <w:bCs/>
                <w:color w:val="FF0000"/>
                <w:sz w:val="24"/>
                <w:szCs w:val="24"/>
                <w:lang w:eastAsia="en-GB"/>
              </w:rPr>
              <w:t>0</w:t>
            </w:r>
            <w:r w:rsidRPr="00497CEF">
              <w:rPr>
                <w:rFonts w:eastAsia="Times New Roman" w:cs="Arial"/>
                <w:b/>
                <w:bCs/>
                <w:color w:val="FF0000"/>
                <w:sz w:val="24"/>
                <w:szCs w:val="24"/>
                <w:lang w:eastAsia="en-GB"/>
              </w:rPr>
              <w:t>.5</w:t>
            </w:r>
            <w:r w:rsidR="00497CEF" w:rsidRPr="00497CEF">
              <w:rPr>
                <w:rFonts w:eastAsia="Times New Roman" w:cs="Arial"/>
                <w:b/>
                <w:bCs/>
                <w:color w:val="FF0000"/>
                <w:sz w:val="24"/>
                <w:szCs w:val="24"/>
                <w:lang w:eastAsia="en-GB"/>
              </w:rPr>
              <w:t>0</w:t>
            </w:r>
            <w:r w:rsidRPr="00497CEF">
              <w:rPr>
                <w:rFonts w:eastAsia="Times New Roman" w:cs="Arial"/>
                <w:b/>
                <w:bCs/>
                <w:color w:val="FF0000"/>
                <w:sz w:val="24"/>
                <w:szCs w:val="24"/>
                <w:lang w:eastAsia="en-GB"/>
              </w:rPr>
              <w:t>)</w:t>
            </w:r>
          </w:p>
        </w:tc>
      </w:tr>
    </w:tbl>
    <w:p w:rsidR="00CB1509" w:rsidRPr="00093036" w:rsidRDefault="00CB1509" w:rsidP="00CB1509">
      <w:pPr>
        <w:rPr>
          <w:sz w:val="24"/>
          <w:szCs w:val="24"/>
        </w:rPr>
      </w:pPr>
    </w:p>
    <w:p w:rsidR="00093036" w:rsidRPr="009C5617" w:rsidRDefault="00093036" w:rsidP="003D0020">
      <w:pPr>
        <w:rPr>
          <w:sz w:val="24"/>
          <w:szCs w:val="24"/>
        </w:rPr>
      </w:pPr>
      <w:r w:rsidRPr="009C5617">
        <w:rPr>
          <w:sz w:val="24"/>
          <w:szCs w:val="24"/>
        </w:rPr>
        <w:t>Current priorities for capital outside the original programme include expansion of NRC at Goole, bed replacement, hoist replacement, and endoscopy equipment. Pressure on the programme to meet all of the demands would exceed £1.0m.</w:t>
      </w:r>
    </w:p>
    <w:p w:rsidR="003D0020" w:rsidRPr="009C5617" w:rsidRDefault="003D0020" w:rsidP="003D0020">
      <w:pPr>
        <w:rPr>
          <w:sz w:val="24"/>
          <w:szCs w:val="24"/>
        </w:rPr>
      </w:pPr>
    </w:p>
    <w:p w:rsidR="003D0020" w:rsidRPr="009C5617" w:rsidRDefault="00093036" w:rsidP="003D0020">
      <w:pPr>
        <w:rPr>
          <w:sz w:val="24"/>
          <w:szCs w:val="24"/>
        </w:rPr>
      </w:pPr>
      <w:r w:rsidRPr="009C5617">
        <w:rPr>
          <w:sz w:val="24"/>
          <w:szCs w:val="24"/>
        </w:rPr>
        <w:t>The Trust is pursuing all avenues to secure additional capital, for these pressures, for the scanner replacement programme, for the DPoW ward refurbishment programme, and to commence the reconfiguration of accommodation on the SGH site. At this point no additional funds are confirmed.</w:t>
      </w:r>
    </w:p>
    <w:p w:rsidR="00CB1509" w:rsidRPr="00093036" w:rsidRDefault="00CB1509" w:rsidP="003027CA">
      <w:pPr>
        <w:spacing w:after="200" w:line="276" w:lineRule="auto"/>
        <w:rPr>
          <w:b/>
          <w:sz w:val="24"/>
          <w:szCs w:val="24"/>
        </w:rPr>
      </w:pPr>
      <w:r w:rsidRPr="00093036">
        <w:rPr>
          <w:b/>
          <w:sz w:val="24"/>
          <w:szCs w:val="24"/>
        </w:rPr>
        <w:br w:type="page"/>
      </w:r>
    </w:p>
    <w:p w:rsidR="00242E68" w:rsidRDefault="007945CA" w:rsidP="00242E68">
      <w:pPr>
        <w:spacing w:after="200" w:line="276" w:lineRule="auto"/>
      </w:pPr>
      <w:r>
        <w:rPr>
          <w:b/>
          <w:sz w:val="24"/>
          <w:szCs w:val="24"/>
        </w:rPr>
        <w:lastRenderedPageBreak/>
        <w:t>7</w:t>
      </w:r>
      <w:r w:rsidR="00C239BD" w:rsidRPr="00132831">
        <w:rPr>
          <w:b/>
          <w:sz w:val="24"/>
          <w:szCs w:val="24"/>
        </w:rPr>
        <w:t>.</w:t>
      </w:r>
      <w:r w:rsidR="00C239BD" w:rsidRPr="00132831">
        <w:rPr>
          <w:b/>
          <w:sz w:val="24"/>
          <w:szCs w:val="24"/>
        </w:rPr>
        <w:tab/>
        <w:t>Balance Sheet</w:t>
      </w:r>
      <w:r w:rsidR="00635CC8">
        <w:rPr>
          <w:b/>
          <w:sz w:val="24"/>
          <w:szCs w:val="24"/>
        </w:rPr>
        <w:t>, Cash</w:t>
      </w:r>
      <w:r w:rsidR="00C239BD" w:rsidRPr="00132831">
        <w:rPr>
          <w:b/>
          <w:sz w:val="24"/>
          <w:szCs w:val="24"/>
        </w:rPr>
        <w:t xml:space="preserve"> and Working Capital:</w:t>
      </w:r>
    </w:p>
    <w:p w:rsidR="001B09DA" w:rsidRPr="003955E9" w:rsidRDefault="001B09DA" w:rsidP="001B09DA">
      <w:pPr>
        <w:spacing w:after="200" w:line="276" w:lineRule="auto"/>
        <w:rPr>
          <w:b/>
          <w:sz w:val="24"/>
          <w:szCs w:val="24"/>
        </w:rPr>
      </w:pPr>
      <w:r w:rsidRPr="003955E9">
        <w:rPr>
          <w:sz w:val="24"/>
          <w:szCs w:val="24"/>
        </w:rPr>
        <w:t>The balance sheet summary is as follows:</w:t>
      </w:r>
    </w:p>
    <w:tbl>
      <w:tblPr>
        <w:tblW w:w="4844" w:type="pct"/>
        <w:tblInd w:w="108" w:type="dxa"/>
        <w:tblLook w:val="04A0" w:firstRow="1" w:lastRow="0" w:firstColumn="1" w:lastColumn="0" w:noHBand="0" w:noVBand="1"/>
      </w:tblPr>
      <w:tblGrid>
        <w:gridCol w:w="5164"/>
        <w:gridCol w:w="1805"/>
        <w:gridCol w:w="1805"/>
        <w:gridCol w:w="1575"/>
      </w:tblGrid>
      <w:tr w:rsidR="00CD10D5" w:rsidRPr="00CD10D5" w:rsidTr="00DE15FA">
        <w:trPr>
          <w:trHeight w:val="630"/>
        </w:trPr>
        <w:tc>
          <w:tcPr>
            <w:tcW w:w="2495" w:type="pct"/>
            <w:vMerge w:val="restart"/>
            <w:tcBorders>
              <w:top w:val="single" w:sz="8" w:space="0" w:color="auto"/>
              <w:left w:val="single" w:sz="8" w:space="0" w:color="auto"/>
              <w:bottom w:val="nil"/>
              <w:right w:val="single" w:sz="8" w:space="0" w:color="auto"/>
            </w:tcBorders>
            <w:shd w:val="clear" w:color="auto" w:fill="auto"/>
            <w:vAlign w:val="bottom"/>
            <w:hideMark/>
          </w:tcPr>
          <w:p w:rsidR="00CD10D5" w:rsidRPr="00CD10D5" w:rsidRDefault="00CD10D5" w:rsidP="00CD10D5">
            <w:pPr>
              <w:jc w:val="left"/>
              <w:rPr>
                <w:rFonts w:eastAsia="Times New Roman" w:cs="Arial"/>
                <w:b/>
                <w:bCs/>
                <w:sz w:val="24"/>
                <w:szCs w:val="24"/>
                <w:lang w:eastAsia="en-GB"/>
              </w:rPr>
            </w:pPr>
            <w:r w:rsidRPr="00CD10D5">
              <w:rPr>
                <w:rFonts w:eastAsia="Times New Roman" w:cs="Arial"/>
                <w:b/>
                <w:bCs/>
                <w:sz w:val="24"/>
                <w:szCs w:val="24"/>
                <w:lang w:eastAsia="en-GB"/>
              </w:rPr>
              <w:t> </w:t>
            </w:r>
          </w:p>
        </w:tc>
        <w:tc>
          <w:tcPr>
            <w:tcW w:w="872" w:type="pct"/>
            <w:tcBorders>
              <w:top w:val="single" w:sz="8" w:space="0" w:color="auto"/>
              <w:left w:val="nil"/>
              <w:bottom w:val="nil"/>
              <w:right w:val="single" w:sz="8" w:space="0" w:color="auto"/>
            </w:tcBorders>
            <w:shd w:val="clear" w:color="auto" w:fill="auto"/>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 xml:space="preserve">Last Month </w:t>
            </w:r>
          </w:p>
        </w:tc>
        <w:tc>
          <w:tcPr>
            <w:tcW w:w="872" w:type="pct"/>
            <w:tcBorders>
              <w:top w:val="single" w:sz="8" w:space="0" w:color="auto"/>
              <w:left w:val="nil"/>
              <w:bottom w:val="nil"/>
              <w:right w:val="single" w:sz="8" w:space="0" w:color="auto"/>
            </w:tcBorders>
            <w:shd w:val="clear" w:color="auto" w:fill="auto"/>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This Month</w:t>
            </w:r>
          </w:p>
        </w:tc>
        <w:tc>
          <w:tcPr>
            <w:tcW w:w="761" w:type="pct"/>
            <w:tcBorders>
              <w:top w:val="single" w:sz="8" w:space="0" w:color="auto"/>
              <w:left w:val="nil"/>
              <w:bottom w:val="nil"/>
              <w:right w:val="single" w:sz="8" w:space="0" w:color="auto"/>
            </w:tcBorders>
            <w:shd w:val="clear" w:color="auto" w:fill="auto"/>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Variance From Plan</w:t>
            </w:r>
          </w:p>
        </w:tc>
      </w:tr>
      <w:tr w:rsidR="00CD10D5" w:rsidRPr="00CD10D5" w:rsidTr="00DE15FA">
        <w:trPr>
          <w:trHeight w:val="315"/>
        </w:trPr>
        <w:tc>
          <w:tcPr>
            <w:tcW w:w="2495" w:type="pct"/>
            <w:vMerge/>
            <w:tcBorders>
              <w:top w:val="single" w:sz="8" w:space="0" w:color="auto"/>
              <w:left w:val="single" w:sz="8" w:space="0" w:color="auto"/>
              <w:bottom w:val="nil"/>
              <w:right w:val="single" w:sz="8" w:space="0" w:color="auto"/>
            </w:tcBorders>
            <w:vAlign w:val="center"/>
            <w:hideMark/>
          </w:tcPr>
          <w:p w:rsidR="00CD10D5" w:rsidRPr="00CD10D5" w:rsidRDefault="00CD10D5" w:rsidP="00CD10D5">
            <w:pPr>
              <w:jc w:val="left"/>
              <w:rPr>
                <w:rFonts w:eastAsia="Times New Roman" w:cs="Arial"/>
                <w:b/>
                <w:bCs/>
                <w:sz w:val="24"/>
                <w:szCs w:val="24"/>
                <w:lang w:eastAsia="en-GB"/>
              </w:rPr>
            </w:pPr>
          </w:p>
        </w:tc>
        <w:tc>
          <w:tcPr>
            <w:tcW w:w="872" w:type="pct"/>
            <w:tcBorders>
              <w:top w:val="nil"/>
              <w:left w:val="nil"/>
              <w:bottom w:val="nil"/>
              <w:right w:val="single" w:sz="8" w:space="0" w:color="auto"/>
            </w:tcBorders>
            <w:shd w:val="clear" w:color="auto" w:fill="auto"/>
            <w:vAlign w:val="bottom"/>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£mil</w:t>
            </w:r>
          </w:p>
        </w:tc>
        <w:tc>
          <w:tcPr>
            <w:tcW w:w="872" w:type="pct"/>
            <w:tcBorders>
              <w:top w:val="nil"/>
              <w:left w:val="nil"/>
              <w:bottom w:val="nil"/>
              <w:right w:val="single" w:sz="8" w:space="0" w:color="auto"/>
            </w:tcBorders>
            <w:shd w:val="clear" w:color="auto" w:fill="auto"/>
            <w:vAlign w:val="bottom"/>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£mil</w:t>
            </w:r>
          </w:p>
        </w:tc>
        <w:tc>
          <w:tcPr>
            <w:tcW w:w="761" w:type="pct"/>
            <w:tcBorders>
              <w:top w:val="nil"/>
              <w:left w:val="nil"/>
              <w:bottom w:val="nil"/>
              <w:right w:val="single" w:sz="8" w:space="0" w:color="auto"/>
            </w:tcBorders>
            <w:shd w:val="clear" w:color="auto" w:fill="auto"/>
            <w:vAlign w:val="bottom"/>
            <w:hideMark/>
          </w:tcPr>
          <w:p w:rsidR="00CD10D5" w:rsidRPr="00CD10D5" w:rsidRDefault="00CD10D5" w:rsidP="00CD10D5">
            <w:pPr>
              <w:jc w:val="center"/>
              <w:rPr>
                <w:rFonts w:eastAsia="Times New Roman" w:cs="Arial"/>
                <w:b/>
                <w:bCs/>
                <w:sz w:val="24"/>
                <w:szCs w:val="24"/>
                <w:lang w:eastAsia="en-GB"/>
              </w:rPr>
            </w:pPr>
            <w:r w:rsidRPr="00CD10D5">
              <w:rPr>
                <w:rFonts w:eastAsia="Times New Roman" w:cs="Arial"/>
                <w:b/>
                <w:bCs/>
                <w:sz w:val="24"/>
                <w:szCs w:val="24"/>
                <w:lang w:eastAsia="en-GB"/>
              </w:rPr>
              <w:t>£mil</w:t>
            </w:r>
          </w:p>
        </w:tc>
      </w:tr>
      <w:tr w:rsidR="00992F4F" w:rsidRPr="00CD10D5" w:rsidTr="00DE15FA">
        <w:trPr>
          <w:trHeight w:val="315"/>
        </w:trPr>
        <w:tc>
          <w:tcPr>
            <w:tcW w:w="2495"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Total Fixed Assets</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162.84</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992F4F">
            <w:pPr>
              <w:jc w:val="center"/>
              <w:rPr>
                <w:rFonts w:eastAsia="Times New Roman" w:cs="Arial"/>
                <w:b/>
                <w:bCs/>
                <w:sz w:val="24"/>
                <w:szCs w:val="24"/>
                <w:lang w:eastAsia="en-GB"/>
              </w:rPr>
            </w:pPr>
            <w:r w:rsidRPr="00CD10D5">
              <w:rPr>
                <w:rFonts w:eastAsia="Times New Roman" w:cs="Arial"/>
                <w:b/>
                <w:bCs/>
                <w:sz w:val="24"/>
                <w:szCs w:val="24"/>
                <w:lang w:eastAsia="en-GB"/>
              </w:rPr>
              <w:t>16</w:t>
            </w:r>
            <w:r>
              <w:rPr>
                <w:rFonts w:eastAsia="Times New Roman" w:cs="Arial"/>
                <w:b/>
                <w:bCs/>
                <w:sz w:val="24"/>
                <w:szCs w:val="24"/>
                <w:lang w:eastAsia="en-GB"/>
              </w:rPr>
              <w:t>6.05</w:t>
            </w:r>
          </w:p>
        </w:tc>
        <w:tc>
          <w:tcPr>
            <w:tcW w:w="761"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992F4F">
            <w:pPr>
              <w:jc w:val="center"/>
              <w:rPr>
                <w:rFonts w:eastAsia="Times New Roman" w:cs="Arial"/>
                <w:b/>
                <w:bCs/>
                <w:sz w:val="24"/>
                <w:szCs w:val="24"/>
                <w:lang w:eastAsia="en-GB"/>
              </w:rPr>
            </w:pPr>
            <w:r>
              <w:rPr>
                <w:rFonts w:eastAsia="Times New Roman" w:cs="Arial"/>
                <w:b/>
                <w:bCs/>
                <w:color w:val="FF0000"/>
                <w:sz w:val="24"/>
                <w:szCs w:val="24"/>
                <w:lang w:eastAsia="en-GB"/>
              </w:rPr>
              <w:t>(0</w:t>
            </w:r>
            <w:r w:rsidRPr="00CD10D5">
              <w:rPr>
                <w:rFonts w:eastAsia="Times New Roman" w:cs="Arial"/>
                <w:b/>
                <w:bCs/>
                <w:color w:val="FF0000"/>
                <w:sz w:val="24"/>
                <w:szCs w:val="24"/>
                <w:lang w:eastAsia="en-GB"/>
              </w:rPr>
              <w:t>.</w:t>
            </w:r>
            <w:r>
              <w:rPr>
                <w:rFonts w:eastAsia="Times New Roman" w:cs="Arial"/>
                <w:b/>
                <w:bCs/>
                <w:color w:val="FF0000"/>
                <w:sz w:val="24"/>
                <w:szCs w:val="24"/>
                <w:lang w:eastAsia="en-GB"/>
              </w:rPr>
              <w:t>02</w:t>
            </w:r>
            <w:r w:rsidRPr="00CD10D5">
              <w:rPr>
                <w:rFonts w:eastAsia="Times New Roman" w:cs="Arial"/>
                <w:b/>
                <w:bCs/>
                <w:color w:val="FF0000"/>
                <w:sz w:val="24"/>
                <w:szCs w:val="24"/>
                <w:lang w:eastAsia="en-GB"/>
              </w:rPr>
              <w:t>)</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Stocks &amp; WIP</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2.62</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2.70</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color w:val="FF0000"/>
                <w:sz w:val="24"/>
                <w:szCs w:val="24"/>
                <w:lang w:eastAsia="en-GB"/>
              </w:rPr>
              <w:t>(0.02</w:t>
            </w:r>
            <w:r w:rsidR="00992F4F" w:rsidRPr="00CD10D5">
              <w:rPr>
                <w:rFonts w:eastAsia="Times New Roman" w:cs="Arial"/>
                <w:color w:val="FF0000"/>
                <w:sz w:val="24"/>
                <w:szCs w:val="24"/>
                <w:lang w:eastAsia="en-GB"/>
              </w:rPr>
              <w:t>)</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 xml:space="preserve">Debtors  </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17.95</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992F4F">
            <w:pPr>
              <w:jc w:val="center"/>
              <w:rPr>
                <w:rFonts w:eastAsia="Times New Roman" w:cs="Arial"/>
                <w:sz w:val="24"/>
                <w:szCs w:val="24"/>
                <w:lang w:eastAsia="en-GB"/>
              </w:rPr>
            </w:pPr>
            <w:r w:rsidRPr="00CD10D5">
              <w:rPr>
                <w:rFonts w:eastAsia="Times New Roman" w:cs="Arial"/>
                <w:sz w:val="24"/>
                <w:szCs w:val="24"/>
                <w:lang w:eastAsia="en-GB"/>
              </w:rPr>
              <w:t>1</w:t>
            </w:r>
            <w:r>
              <w:rPr>
                <w:rFonts w:eastAsia="Times New Roman" w:cs="Arial"/>
                <w:sz w:val="24"/>
                <w:szCs w:val="24"/>
                <w:lang w:eastAsia="en-GB"/>
              </w:rPr>
              <w:t>6.88</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0.77</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Prepayments</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3.28</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9C5617">
              <w:rPr>
                <w:rFonts w:eastAsia="Times New Roman" w:cs="Arial"/>
                <w:sz w:val="24"/>
                <w:szCs w:val="24"/>
                <w:lang w:eastAsia="en-GB"/>
              </w:rPr>
              <w:t>4.75</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502F8">
            <w:pPr>
              <w:jc w:val="center"/>
              <w:rPr>
                <w:rFonts w:eastAsia="Times New Roman" w:cs="Arial"/>
                <w:sz w:val="24"/>
                <w:szCs w:val="24"/>
                <w:lang w:eastAsia="en-GB"/>
              </w:rPr>
            </w:pPr>
            <w:r w:rsidRPr="00C502F8">
              <w:rPr>
                <w:rFonts w:eastAsia="Times New Roman" w:cs="Arial"/>
                <w:sz w:val="24"/>
                <w:szCs w:val="24"/>
                <w:lang w:eastAsia="en-GB"/>
              </w:rPr>
              <w:t>0.66</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 xml:space="preserve">Cash </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10.13</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992F4F">
            <w:pPr>
              <w:jc w:val="center"/>
              <w:rPr>
                <w:rFonts w:eastAsia="Times New Roman" w:cs="Arial"/>
                <w:sz w:val="24"/>
                <w:szCs w:val="24"/>
                <w:lang w:eastAsia="en-GB"/>
              </w:rPr>
            </w:pPr>
            <w:r w:rsidRPr="00CD10D5">
              <w:rPr>
                <w:rFonts w:eastAsia="Times New Roman" w:cs="Arial"/>
                <w:sz w:val="24"/>
                <w:szCs w:val="24"/>
                <w:lang w:eastAsia="en-GB"/>
              </w:rPr>
              <w:t>1</w:t>
            </w:r>
            <w:r>
              <w:rPr>
                <w:rFonts w:eastAsia="Times New Roman" w:cs="Arial"/>
                <w:sz w:val="24"/>
                <w:szCs w:val="24"/>
                <w:lang w:eastAsia="en-GB"/>
              </w:rPr>
              <w:t>1.96</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10.07</w:t>
            </w:r>
          </w:p>
        </w:tc>
      </w:tr>
      <w:tr w:rsidR="00992F4F" w:rsidRPr="00CD10D5" w:rsidTr="00DE15FA">
        <w:trPr>
          <w:trHeight w:val="315"/>
        </w:trPr>
        <w:tc>
          <w:tcPr>
            <w:tcW w:w="2495"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Total Current Assets</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33.99</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992F4F">
            <w:pPr>
              <w:jc w:val="center"/>
              <w:rPr>
                <w:rFonts w:eastAsia="Times New Roman" w:cs="Arial"/>
                <w:b/>
                <w:bCs/>
                <w:sz w:val="24"/>
                <w:szCs w:val="24"/>
                <w:lang w:eastAsia="en-GB"/>
              </w:rPr>
            </w:pPr>
            <w:r>
              <w:rPr>
                <w:rFonts w:eastAsia="Times New Roman" w:cs="Arial"/>
                <w:b/>
                <w:bCs/>
                <w:sz w:val="24"/>
                <w:szCs w:val="24"/>
                <w:lang w:eastAsia="en-GB"/>
              </w:rPr>
              <w:t>36.30</w:t>
            </w:r>
          </w:p>
        </w:tc>
        <w:tc>
          <w:tcPr>
            <w:tcW w:w="761"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C502F8" w:rsidP="00C502F8">
            <w:pPr>
              <w:jc w:val="center"/>
              <w:rPr>
                <w:rFonts w:eastAsia="Times New Roman" w:cs="Arial"/>
                <w:b/>
                <w:bCs/>
                <w:sz w:val="24"/>
                <w:szCs w:val="24"/>
                <w:lang w:eastAsia="en-GB"/>
              </w:rPr>
            </w:pPr>
            <w:r>
              <w:rPr>
                <w:rFonts w:eastAsia="Times New Roman" w:cs="Arial"/>
                <w:b/>
                <w:bCs/>
                <w:sz w:val="24"/>
                <w:szCs w:val="24"/>
                <w:lang w:eastAsia="en-GB"/>
              </w:rPr>
              <w:t>11</w:t>
            </w:r>
            <w:r w:rsidR="00992F4F" w:rsidRPr="00CD10D5">
              <w:rPr>
                <w:rFonts w:eastAsia="Times New Roman" w:cs="Arial"/>
                <w:b/>
                <w:bCs/>
                <w:sz w:val="24"/>
                <w:szCs w:val="24"/>
                <w:lang w:eastAsia="en-GB"/>
              </w:rPr>
              <w:t>.</w:t>
            </w:r>
            <w:r>
              <w:rPr>
                <w:rFonts w:eastAsia="Times New Roman" w:cs="Arial"/>
                <w:b/>
                <w:bCs/>
                <w:sz w:val="24"/>
                <w:szCs w:val="24"/>
                <w:lang w:eastAsia="en-GB"/>
              </w:rPr>
              <w:t>48</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Creditors : Revenue</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31.49</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33.20</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7.55</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Creditors : Capital</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2.25</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3.87</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color w:val="FF0000"/>
                <w:sz w:val="24"/>
                <w:szCs w:val="24"/>
                <w:lang w:eastAsia="en-GB"/>
              </w:rPr>
              <w:t>(0.1</w:t>
            </w:r>
            <w:r w:rsidR="00992F4F" w:rsidRPr="00CD10D5">
              <w:rPr>
                <w:rFonts w:eastAsia="Times New Roman" w:cs="Arial"/>
                <w:color w:val="FF0000"/>
                <w:sz w:val="24"/>
                <w:szCs w:val="24"/>
                <w:lang w:eastAsia="en-GB"/>
              </w:rPr>
              <w:t>7)</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Accruals</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15.70</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16.87</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502F8">
            <w:pPr>
              <w:jc w:val="center"/>
              <w:rPr>
                <w:rFonts w:eastAsia="Times New Roman" w:cs="Arial"/>
                <w:sz w:val="24"/>
                <w:szCs w:val="24"/>
                <w:lang w:eastAsia="en-GB"/>
              </w:rPr>
            </w:pPr>
            <w:r>
              <w:rPr>
                <w:rFonts w:eastAsia="Times New Roman" w:cs="Arial"/>
                <w:sz w:val="24"/>
                <w:szCs w:val="24"/>
                <w:lang w:eastAsia="en-GB"/>
              </w:rPr>
              <w:t>7</w:t>
            </w:r>
            <w:r w:rsidR="00992F4F" w:rsidRPr="00CD10D5">
              <w:rPr>
                <w:rFonts w:eastAsia="Times New Roman" w:cs="Arial"/>
                <w:sz w:val="24"/>
                <w:szCs w:val="24"/>
                <w:lang w:eastAsia="en-GB"/>
              </w:rPr>
              <w:t>.2</w:t>
            </w:r>
            <w:r>
              <w:rPr>
                <w:rFonts w:eastAsia="Times New Roman" w:cs="Arial"/>
                <w:sz w:val="24"/>
                <w:szCs w:val="24"/>
                <w:lang w:eastAsia="en-GB"/>
              </w:rPr>
              <w:t>8</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Deferred Income</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0.19</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0.29</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0.17</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Finance Lease Obligations</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0.03</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0.03</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color w:val="FF0000"/>
                <w:sz w:val="24"/>
                <w:szCs w:val="24"/>
                <w:lang w:eastAsia="en-GB"/>
              </w:rPr>
              <w:t>(0.01)</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Loans &lt; 1 year</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1.43</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1.43</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Provisions</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1.07</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Pr>
                <w:rFonts w:eastAsia="Times New Roman" w:cs="Arial"/>
                <w:sz w:val="24"/>
                <w:szCs w:val="24"/>
                <w:lang w:eastAsia="en-GB"/>
              </w:rPr>
              <w:t>1.10</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0.21</w:t>
            </w:r>
          </w:p>
        </w:tc>
      </w:tr>
      <w:tr w:rsidR="00992F4F" w:rsidRPr="00CD10D5" w:rsidTr="00DE15FA">
        <w:trPr>
          <w:trHeight w:val="315"/>
        </w:trPr>
        <w:tc>
          <w:tcPr>
            <w:tcW w:w="2495"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Total Current Liabilities</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52.17</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CD10D5">
            <w:pPr>
              <w:jc w:val="center"/>
              <w:rPr>
                <w:rFonts w:eastAsia="Times New Roman" w:cs="Arial"/>
                <w:b/>
                <w:bCs/>
                <w:sz w:val="24"/>
                <w:szCs w:val="24"/>
                <w:lang w:eastAsia="en-GB"/>
              </w:rPr>
            </w:pPr>
            <w:r>
              <w:rPr>
                <w:rFonts w:eastAsia="Times New Roman" w:cs="Arial"/>
                <w:b/>
                <w:bCs/>
                <w:sz w:val="24"/>
                <w:szCs w:val="24"/>
                <w:lang w:eastAsia="en-GB"/>
              </w:rPr>
              <w:t>56.88</w:t>
            </w:r>
          </w:p>
        </w:tc>
        <w:tc>
          <w:tcPr>
            <w:tcW w:w="761"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C502F8" w:rsidP="00CD10D5">
            <w:pPr>
              <w:jc w:val="center"/>
              <w:rPr>
                <w:rFonts w:eastAsia="Times New Roman" w:cs="Arial"/>
                <w:b/>
                <w:bCs/>
                <w:sz w:val="24"/>
                <w:szCs w:val="24"/>
                <w:lang w:eastAsia="en-GB"/>
              </w:rPr>
            </w:pPr>
            <w:r>
              <w:rPr>
                <w:rFonts w:eastAsia="Times New Roman" w:cs="Arial"/>
                <w:b/>
                <w:bCs/>
                <w:sz w:val="24"/>
                <w:szCs w:val="24"/>
                <w:lang w:eastAsia="en-GB"/>
              </w:rPr>
              <w:t>15.04</w:t>
            </w:r>
          </w:p>
        </w:tc>
      </w:tr>
      <w:tr w:rsidR="00992F4F" w:rsidRPr="00CD10D5" w:rsidTr="00DE15FA">
        <w:trPr>
          <w:trHeight w:val="315"/>
        </w:trPr>
        <w:tc>
          <w:tcPr>
            <w:tcW w:w="2495" w:type="pct"/>
            <w:tcBorders>
              <w:top w:val="nil"/>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 </w:t>
            </w:r>
          </w:p>
        </w:tc>
        <w:tc>
          <w:tcPr>
            <w:tcW w:w="872" w:type="pct"/>
            <w:tcBorders>
              <w:top w:val="nil"/>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 </w:t>
            </w:r>
          </w:p>
        </w:tc>
        <w:tc>
          <w:tcPr>
            <w:tcW w:w="872" w:type="pct"/>
            <w:tcBorders>
              <w:top w:val="nil"/>
              <w:left w:val="nil"/>
              <w:bottom w:val="single" w:sz="4" w:space="0" w:color="auto"/>
              <w:right w:val="single" w:sz="8" w:space="0" w:color="auto"/>
            </w:tcBorders>
            <w:shd w:val="clear" w:color="auto" w:fill="auto"/>
            <w:vAlign w:val="bottom"/>
            <w:hideMark/>
          </w:tcPr>
          <w:p w:rsidR="00992F4F" w:rsidRPr="00CD10D5" w:rsidRDefault="00992F4F" w:rsidP="00CD10D5">
            <w:pPr>
              <w:jc w:val="center"/>
              <w:rPr>
                <w:rFonts w:eastAsia="Times New Roman" w:cs="Arial"/>
                <w:b/>
                <w:bCs/>
                <w:sz w:val="24"/>
                <w:szCs w:val="24"/>
                <w:lang w:eastAsia="en-GB"/>
              </w:rPr>
            </w:pPr>
            <w:r w:rsidRPr="00CD10D5">
              <w:rPr>
                <w:rFonts w:eastAsia="Times New Roman" w:cs="Arial"/>
                <w:b/>
                <w:bCs/>
                <w:sz w:val="24"/>
                <w:szCs w:val="24"/>
                <w:lang w:eastAsia="en-GB"/>
              </w:rPr>
              <w:t> </w:t>
            </w:r>
          </w:p>
        </w:tc>
        <w:tc>
          <w:tcPr>
            <w:tcW w:w="761" w:type="pct"/>
            <w:tcBorders>
              <w:top w:val="nil"/>
              <w:left w:val="nil"/>
              <w:bottom w:val="single" w:sz="4" w:space="0" w:color="auto"/>
              <w:right w:val="single" w:sz="8" w:space="0" w:color="auto"/>
            </w:tcBorders>
            <w:shd w:val="clear" w:color="auto" w:fill="auto"/>
            <w:vAlign w:val="bottom"/>
            <w:hideMark/>
          </w:tcPr>
          <w:p w:rsidR="00992F4F" w:rsidRPr="00CD10D5" w:rsidRDefault="00992F4F" w:rsidP="00CD10D5">
            <w:pPr>
              <w:jc w:val="center"/>
              <w:rPr>
                <w:rFonts w:eastAsia="Times New Roman" w:cs="Arial"/>
                <w:b/>
                <w:bCs/>
                <w:sz w:val="24"/>
                <w:szCs w:val="24"/>
                <w:lang w:eastAsia="en-GB"/>
              </w:rPr>
            </w:pPr>
            <w:r w:rsidRPr="00CD10D5">
              <w:rPr>
                <w:rFonts w:eastAsia="Times New Roman" w:cs="Arial"/>
                <w:b/>
                <w:bCs/>
                <w:sz w:val="24"/>
                <w:szCs w:val="24"/>
                <w:lang w:eastAsia="en-GB"/>
              </w:rPr>
              <w:t> </w:t>
            </w:r>
          </w:p>
        </w:tc>
      </w:tr>
      <w:tr w:rsidR="00992F4F" w:rsidRPr="00CD10D5" w:rsidTr="00DE15FA">
        <w:trPr>
          <w:trHeight w:val="315"/>
        </w:trPr>
        <w:tc>
          <w:tcPr>
            <w:tcW w:w="2495" w:type="pct"/>
            <w:tcBorders>
              <w:top w:val="nil"/>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Net Current Assets/(Liabilities)</w:t>
            </w:r>
          </w:p>
        </w:tc>
        <w:tc>
          <w:tcPr>
            <w:tcW w:w="872" w:type="pct"/>
            <w:tcBorders>
              <w:top w:val="nil"/>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color w:val="FF0000"/>
                <w:sz w:val="24"/>
                <w:szCs w:val="24"/>
                <w:lang w:eastAsia="en-GB"/>
              </w:rPr>
              <w:t>(18.18)</w:t>
            </w:r>
          </w:p>
        </w:tc>
        <w:tc>
          <w:tcPr>
            <w:tcW w:w="872" w:type="pct"/>
            <w:tcBorders>
              <w:top w:val="nil"/>
              <w:left w:val="nil"/>
              <w:bottom w:val="single" w:sz="4" w:space="0" w:color="auto"/>
              <w:right w:val="single" w:sz="8" w:space="0" w:color="auto"/>
            </w:tcBorders>
            <w:shd w:val="clear" w:color="auto" w:fill="auto"/>
            <w:vAlign w:val="bottom"/>
            <w:hideMark/>
          </w:tcPr>
          <w:p w:rsidR="00992F4F" w:rsidRPr="00CD10D5" w:rsidRDefault="00C502F8" w:rsidP="00CD10D5">
            <w:pPr>
              <w:jc w:val="center"/>
              <w:rPr>
                <w:rFonts w:eastAsia="Times New Roman" w:cs="Arial"/>
                <w:b/>
                <w:bCs/>
                <w:sz w:val="24"/>
                <w:szCs w:val="24"/>
                <w:lang w:eastAsia="en-GB"/>
              </w:rPr>
            </w:pPr>
            <w:r>
              <w:rPr>
                <w:rFonts w:eastAsia="Times New Roman" w:cs="Arial"/>
                <w:b/>
                <w:bCs/>
                <w:color w:val="FF0000"/>
                <w:sz w:val="24"/>
                <w:szCs w:val="24"/>
                <w:lang w:eastAsia="en-GB"/>
              </w:rPr>
              <w:t>(20.5</w:t>
            </w:r>
            <w:r w:rsidR="00992F4F" w:rsidRPr="00CD10D5">
              <w:rPr>
                <w:rFonts w:eastAsia="Times New Roman" w:cs="Arial"/>
                <w:b/>
                <w:bCs/>
                <w:color w:val="FF0000"/>
                <w:sz w:val="24"/>
                <w:szCs w:val="24"/>
                <w:lang w:eastAsia="en-GB"/>
              </w:rPr>
              <w:t>8)</w:t>
            </w:r>
          </w:p>
        </w:tc>
        <w:tc>
          <w:tcPr>
            <w:tcW w:w="761" w:type="pct"/>
            <w:tcBorders>
              <w:top w:val="nil"/>
              <w:left w:val="nil"/>
              <w:bottom w:val="single" w:sz="4" w:space="0" w:color="auto"/>
              <w:right w:val="single" w:sz="8" w:space="0" w:color="auto"/>
            </w:tcBorders>
            <w:shd w:val="clear" w:color="auto" w:fill="auto"/>
            <w:vAlign w:val="bottom"/>
            <w:hideMark/>
          </w:tcPr>
          <w:p w:rsidR="00992F4F" w:rsidRPr="00CD10D5" w:rsidRDefault="00C502F8" w:rsidP="00C502F8">
            <w:pPr>
              <w:jc w:val="center"/>
              <w:rPr>
                <w:rFonts w:eastAsia="Times New Roman" w:cs="Arial"/>
                <w:b/>
                <w:bCs/>
                <w:sz w:val="24"/>
                <w:szCs w:val="24"/>
                <w:lang w:eastAsia="en-GB"/>
              </w:rPr>
            </w:pPr>
            <w:r>
              <w:rPr>
                <w:rFonts w:eastAsia="Times New Roman" w:cs="Arial"/>
                <w:b/>
                <w:bCs/>
                <w:color w:val="FF0000"/>
                <w:sz w:val="24"/>
                <w:szCs w:val="24"/>
                <w:lang w:eastAsia="en-GB"/>
              </w:rPr>
              <w:t>(3</w:t>
            </w:r>
            <w:r w:rsidR="00992F4F" w:rsidRPr="00CD10D5">
              <w:rPr>
                <w:rFonts w:eastAsia="Times New Roman" w:cs="Arial"/>
                <w:b/>
                <w:bCs/>
                <w:color w:val="FF0000"/>
                <w:sz w:val="24"/>
                <w:szCs w:val="24"/>
                <w:lang w:eastAsia="en-GB"/>
              </w:rPr>
              <w:t>.</w:t>
            </w:r>
            <w:r>
              <w:rPr>
                <w:rFonts w:eastAsia="Times New Roman" w:cs="Arial"/>
                <w:b/>
                <w:bCs/>
                <w:color w:val="FF0000"/>
                <w:sz w:val="24"/>
                <w:szCs w:val="24"/>
                <w:lang w:eastAsia="en-GB"/>
              </w:rPr>
              <w:t>57</w:t>
            </w:r>
            <w:r w:rsidR="00992F4F" w:rsidRPr="00CD10D5">
              <w:rPr>
                <w:rFonts w:eastAsia="Times New Roman" w:cs="Arial"/>
                <w:b/>
                <w:bCs/>
                <w:color w:val="FF0000"/>
                <w:sz w:val="24"/>
                <w:szCs w:val="24"/>
                <w:lang w:eastAsia="en-GB"/>
              </w:rPr>
              <w:t>)</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Debtors Due &gt; 1 Year</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0.00</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Creditors Due &gt; 1 Year</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0.00</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Loans &gt; 1 Year</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130.39</w:t>
            </w:r>
          </w:p>
        </w:tc>
        <w:tc>
          <w:tcPr>
            <w:tcW w:w="872"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Pr>
                <w:rFonts w:eastAsia="Times New Roman" w:cs="Arial"/>
                <w:sz w:val="24"/>
                <w:szCs w:val="24"/>
                <w:lang w:eastAsia="en-GB"/>
              </w:rPr>
              <w:t>135.00</w:t>
            </w:r>
          </w:p>
        </w:tc>
        <w:tc>
          <w:tcPr>
            <w:tcW w:w="761" w:type="pct"/>
            <w:tcBorders>
              <w:top w:val="nil"/>
              <w:left w:val="nil"/>
              <w:bottom w:val="nil"/>
              <w:right w:val="single" w:sz="8" w:space="0" w:color="auto"/>
            </w:tcBorders>
            <w:shd w:val="clear" w:color="auto" w:fill="auto"/>
            <w:vAlign w:val="bottom"/>
            <w:hideMark/>
          </w:tcPr>
          <w:p w:rsidR="00992F4F" w:rsidRPr="00CD10D5" w:rsidRDefault="00C502F8" w:rsidP="00CD10D5">
            <w:pPr>
              <w:jc w:val="center"/>
              <w:rPr>
                <w:rFonts w:eastAsia="Times New Roman" w:cs="Arial"/>
                <w:sz w:val="24"/>
                <w:szCs w:val="24"/>
                <w:lang w:eastAsia="en-GB"/>
              </w:rPr>
            </w:pPr>
            <w:r w:rsidRPr="00C502F8">
              <w:rPr>
                <w:rFonts w:eastAsia="Times New Roman" w:cs="Arial"/>
                <w:color w:val="FF0000"/>
                <w:sz w:val="24"/>
                <w:szCs w:val="24"/>
                <w:lang w:eastAsia="en-GB"/>
              </w:rPr>
              <w:t>(0.18)</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Finance Lease Obligations &gt; 1 Year</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0.00</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r>
      <w:tr w:rsidR="00992F4F" w:rsidRPr="00CD10D5" w:rsidTr="00DE15FA">
        <w:trPr>
          <w:trHeight w:val="300"/>
        </w:trPr>
        <w:tc>
          <w:tcPr>
            <w:tcW w:w="2495" w:type="pct"/>
            <w:tcBorders>
              <w:top w:val="nil"/>
              <w:left w:val="single" w:sz="8" w:space="0" w:color="auto"/>
              <w:bottom w:val="nil"/>
              <w:right w:val="single" w:sz="8" w:space="0" w:color="auto"/>
            </w:tcBorders>
            <w:shd w:val="clear" w:color="auto" w:fill="auto"/>
            <w:vAlign w:val="bottom"/>
            <w:hideMark/>
          </w:tcPr>
          <w:p w:rsidR="00992F4F" w:rsidRPr="00CD10D5" w:rsidRDefault="00992F4F" w:rsidP="00CD10D5">
            <w:pPr>
              <w:jc w:val="left"/>
              <w:rPr>
                <w:rFonts w:eastAsia="Times New Roman" w:cs="Arial"/>
                <w:sz w:val="24"/>
                <w:szCs w:val="24"/>
                <w:lang w:eastAsia="en-GB"/>
              </w:rPr>
            </w:pPr>
            <w:r w:rsidRPr="00CD10D5">
              <w:rPr>
                <w:rFonts w:eastAsia="Times New Roman" w:cs="Arial"/>
                <w:sz w:val="24"/>
                <w:szCs w:val="24"/>
                <w:lang w:eastAsia="en-GB"/>
              </w:rPr>
              <w:t>Provisions - Non Current</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1264B">
            <w:pPr>
              <w:jc w:val="center"/>
              <w:rPr>
                <w:rFonts w:eastAsia="Times New Roman" w:cs="Arial"/>
                <w:sz w:val="24"/>
                <w:szCs w:val="24"/>
                <w:lang w:eastAsia="en-GB"/>
              </w:rPr>
            </w:pPr>
            <w:r w:rsidRPr="00CD10D5">
              <w:rPr>
                <w:rFonts w:eastAsia="Times New Roman" w:cs="Arial"/>
                <w:sz w:val="24"/>
                <w:szCs w:val="24"/>
                <w:lang w:eastAsia="en-GB"/>
              </w:rPr>
              <w:t>4.70</w:t>
            </w:r>
          </w:p>
        </w:tc>
        <w:tc>
          <w:tcPr>
            <w:tcW w:w="872"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4.70</w:t>
            </w:r>
          </w:p>
        </w:tc>
        <w:tc>
          <w:tcPr>
            <w:tcW w:w="761" w:type="pct"/>
            <w:tcBorders>
              <w:top w:val="nil"/>
              <w:left w:val="nil"/>
              <w:bottom w:val="nil"/>
              <w:right w:val="single" w:sz="8" w:space="0" w:color="auto"/>
            </w:tcBorders>
            <w:shd w:val="clear" w:color="auto" w:fill="auto"/>
            <w:vAlign w:val="bottom"/>
            <w:hideMark/>
          </w:tcPr>
          <w:p w:rsidR="00992F4F" w:rsidRPr="00CD10D5" w:rsidRDefault="00992F4F" w:rsidP="00CD10D5">
            <w:pPr>
              <w:jc w:val="center"/>
              <w:rPr>
                <w:rFonts w:eastAsia="Times New Roman" w:cs="Arial"/>
                <w:sz w:val="24"/>
                <w:szCs w:val="24"/>
                <w:lang w:eastAsia="en-GB"/>
              </w:rPr>
            </w:pPr>
            <w:r w:rsidRPr="00CD10D5">
              <w:rPr>
                <w:rFonts w:eastAsia="Times New Roman" w:cs="Arial"/>
                <w:sz w:val="24"/>
                <w:szCs w:val="24"/>
                <w:lang w:eastAsia="en-GB"/>
              </w:rPr>
              <w:t>0.00</w:t>
            </w:r>
          </w:p>
        </w:tc>
      </w:tr>
      <w:tr w:rsidR="00992F4F" w:rsidRPr="00CD10D5" w:rsidTr="00DE15FA">
        <w:trPr>
          <w:trHeight w:val="315"/>
        </w:trPr>
        <w:tc>
          <w:tcPr>
            <w:tcW w:w="2495"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TOTAL ASSETS/(LIABILITIES)</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9.58</w:t>
            </w:r>
          </w:p>
        </w:tc>
        <w:tc>
          <w:tcPr>
            <w:tcW w:w="872"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C502F8" w:rsidP="00CD10D5">
            <w:pPr>
              <w:jc w:val="center"/>
              <w:rPr>
                <w:rFonts w:eastAsia="Times New Roman" w:cs="Arial"/>
                <w:b/>
                <w:bCs/>
                <w:sz w:val="24"/>
                <w:szCs w:val="24"/>
                <w:lang w:eastAsia="en-GB"/>
              </w:rPr>
            </w:pPr>
            <w:r>
              <w:rPr>
                <w:rFonts w:eastAsia="Times New Roman" w:cs="Arial"/>
                <w:b/>
                <w:bCs/>
                <w:sz w:val="24"/>
                <w:szCs w:val="24"/>
                <w:lang w:eastAsia="en-GB"/>
              </w:rPr>
              <w:t>5.74</w:t>
            </w:r>
          </w:p>
        </w:tc>
        <w:tc>
          <w:tcPr>
            <w:tcW w:w="761" w:type="pct"/>
            <w:tcBorders>
              <w:top w:val="single" w:sz="4" w:space="0" w:color="auto"/>
              <w:left w:val="nil"/>
              <w:bottom w:val="single" w:sz="4" w:space="0" w:color="auto"/>
              <w:right w:val="single" w:sz="8" w:space="0" w:color="auto"/>
            </w:tcBorders>
            <w:shd w:val="clear" w:color="auto" w:fill="auto"/>
            <w:vAlign w:val="bottom"/>
            <w:hideMark/>
          </w:tcPr>
          <w:p w:rsidR="00992F4F" w:rsidRPr="00CD10D5" w:rsidRDefault="00C502F8" w:rsidP="00CD10D5">
            <w:pPr>
              <w:jc w:val="center"/>
              <w:rPr>
                <w:rFonts w:eastAsia="Times New Roman" w:cs="Arial"/>
                <w:b/>
                <w:bCs/>
                <w:sz w:val="24"/>
                <w:szCs w:val="24"/>
                <w:lang w:eastAsia="en-GB"/>
              </w:rPr>
            </w:pPr>
            <w:r>
              <w:rPr>
                <w:rFonts w:eastAsia="Times New Roman" w:cs="Arial"/>
                <w:b/>
                <w:bCs/>
                <w:color w:val="FF0000"/>
                <w:sz w:val="24"/>
                <w:szCs w:val="24"/>
                <w:lang w:eastAsia="en-GB"/>
              </w:rPr>
              <w:t>(3.41</w:t>
            </w:r>
            <w:r w:rsidR="00992F4F" w:rsidRPr="00CD10D5">
              <w:rPr>
                <w:rFonts w:eastAsia="Times New Roman" w:cs="Arial"/>
                <w:b/>
                <w:bCs/>
                <w:color w:val="FF0000"/>
                <w:sz w:val="24"/>
                <w:szCs w:val="24"/>
                <w:lang w:eastAsia="en-GB"/>
              </w:rPr>
              <w:t>)</w:t>
            </w:r>
          </w:p>
        </w:tc>
      </w:tr>
      <w:tr w:rsidR="00992F4F" w:rsidRPr="00CD10D5" w:rsidTr="00DE15FA">
        <w:trPr>
          <w:trHeight w:val="330"/>
        </w:trPr>
        <w:tc>
          <w:tcPr>
            <w:tcW w:w="2495" w:type="pct"/>
            <w:tcBorders>
              <w:top w:val="nil"/>
              <w:left w:val="single" w:sz="8" w:space="0" w:color="auto"/>
              <w:bottom w:val="single" w:sz="8" w:space="0" w:color="auto"/>
              <w:right w:val="single" w:sz="8" w:space="0" w:color="auto"/>
            </w:tcBorders>
            <w:shd w:val="clear" w:color="auto" w:fill="auto"/>
            <w:vAlign w:val="bottom"/>
            <w:hideMark/>
          </w:tcPr>
          <w:p w:rsidR="00992F4F" w:rsidRPr="00CD10D5" w:rsidRDefault="00992F4F" w:rsidP="00CD10D5">
            <w:pPr>
              <w:jc w:val="left"/>
              <w:rPr>
                <w:rFonts w:eastAsia="Times New Roman" w:cs="Arial"/>
                <w:b/>
                <w:bCs/>
                <w:sz w:val="24"/>
                <w:szCs w:val="24"/>
                <w:lang w:eastAsia="en-GB"/>
              </w:rPr>
            </w:pPr>
            <w:r w:rsidRPr="00CD10D5">
              <w:rPr>
                <w:rFonts w:eastAsia="Times New Roman" w:cs="Arial"/>
                <w:b/>
                <w:bCs/>
                <w:sz w:val="24"/>
                <w:szCs w:val="24"/>
                <w:lang w:eastAsia="en-GB"/>
              </w:rPr>
              <w:t>TOTAL CAPITAL &amp; RESERVES</w:t>
            </w:r>
          </w:p>
        </w:tc>
        <w:tc>
          <w:tcPr>
            <w:tcW w:w="872" w:type="pct"/>
            <w:tcBorders>
              <w:top w:val="nil"/>
              <w:left w:val="nil"/>
              <w:bottom w:val="single" w:sz="8" w:space="0" w:color="auto"/>
              <w:right w:val="single" w:sz="8" w:space="0" w:color="auto"/>
            </w:tcBorders>
            <w:shd w:val="clear" w:color="auto" w:fill="auto"/>
            <w:vAlign w:val="bottom"/>
            <w:hideMark/>
          </w:tcPr>
          <w:p w:rsidR="00992F4F" w:rsidRPr="00CD10D5" w:rsidRDefault="00992F4F" w:rsidP="00C1264B">
            <w:pPr>
              <w:jc w:val="center"/>
              <w:rPr>
                <w:rFonts w:eastAsia="Times New Roman" w:cs="Arial"/>
                <w:b/>
                <w:bCs/>
                <w:sz w:val="24"/>
                <w:szCs w:val="24"/>
                <w:lang w:eastAsia="en-GB"/>
              </w:rPr>
            </w:pPr>
            <w:r w:rsidRPr="00CD10D5">
              <w:rPr>
                <w:rFonts w:eastAsia="Times New Roman" w:cs="Arial"/>
                <w:b/>
                <w:bCs/>
                <w:sz w:val="24"/>
                <w:szCs w:val="24"/>
                <w:lang w:eastAsia="en-GB"/>
              </w:rPr>
              <w:t>9.58</w:t>
            </w:r>
          </w:p>
        </w:tc>
        <w:tc>
          <w:tcPr>
            <w:tcW w:w="872" w:type="pct"/>
            <w:tcBorders>
              <w:top w:val="nil"/>
              <w:left w:val="nil"/>
              <w:bottom w:val="single" w:sz="8" w:space="0" w:color="auto"/>
              <w:right w:val="single" w:sz="8" w:space="0" w:color="auto"/>
            </w:tcBorders>
            <w:shd w:val="clear" w:color="auto" w:fill="auto"/>
            <w:vAlign w:val="bottom"/>
            <w:hideMark/>
          </w:tcPr>
          <w:p w:rsidR="00992F4F" w:rsidRPr="00CD10D5" w:rsidRDefault="00C502F8" w:rsidP="00C502F8">
            <w:pPr>
              <w:jc w:val="center"/>
              <w:rPr>
                <w:rFonts w:eastAsia="Times New Roman" w:cs="Arial"/>
                <w:b/>
                <w:bCs/>
                <w:sz w:val="24"/>
                <w:szCs w:val="24"/>
                <w:lang w:eastAsia="en-GB"/>
              </w:rPr>
            </w:pPr>
            <w:r>
              <w:rPr>
                <w:rFonts w:eastAsia="Times New Roman" w:cs="Arial"/>
                <w:b/>
                <w:bCs/>
                <w:sz w:val="24"/>
                <w:szCs w:val="24"/>
                <w:lang w:eastAsia="en-GB"/>
              </w:rPr>
              <w:t>5.74</w:t>
            </w:r>
          </w:p>
        </w:tc>
        <w:tc>
          <w:tcPr>
            <w:tcW w:w="761" w:type="pct"/>
            <w:tcBorders>
              <w:top w:val="nil"/>
              <w:left w:val="nil"/>
              <w:bottom w:val="single" w:sz="8" w:space="0" w:color="auto"/>
              <w:right w:val="single" w:sz="8" w:space="0" w:color="auto"/>
            </w:tcBorders>
            <w:shd w:val="clear" w:color="auto" w:fill="auto"/>
            <w:vAlign w:val="bottom"/>
            <w:hideMark/>
          </w:tcPr>
          <w:p w:rsidR="00992F4F" w:rsidRPr="00CD10D5" w:rsidRDefault="00C502F8" w:rsidP="00CD10D5">
            <w:pPr>
              <w:jc w:val="center"/>
              <w:rPr>
                <w:rFonts w:eastAsia="Times New Roman" w:cs="Arial"/>
                <w:b/>
                <w:bCs/>
                <w:sz w:val="24"/>
                <w:szCs w:val="24"/>
                <w:lang w:eastAsia="en-GB"/>
              </w:rPr>
            </w:pPr>
            <w:r>
              <w:rPr>
                <w:rFonts w:eastAsia="Times New Roman" w:cs="Arial"/>
                <w:b/>
                <w:bCs/>
                <w:color w:val="FF0000"/>
                <w:sz w:val="24"/>
                <w:szCs w:val="24"/>
                <w:lang w:eastAsia="en-GB"/>
              </w:rPr>
              <w:t>(3.41</w:t>
            </w:r>
            <w:r w:rsidR="00992F4F" w:rsidRPr="00CD10D5">
              <w:rPr>
                <w:rFonts w:eastAsia="Times New Roman" w:cs="Arial"/>
                <w:b/>
                <w:bCs/>
                <w:color w:val="FF0000"/>
                <w:sz w:val="24"/>
                <w:szCs w:val="24"/>
                <w:lang w:eastAsia="en-GB"/>
              </w:rPr>
              <w:t>)</w:t>
            </w:r>
          </w:p>
        </w:tc>
      </w:tr>
    </w:tbl>
    <w:p w:rsidR="00CB1509" w:rsidRPr="003955E9" w:rsidRDefault="00CB1509" w:rsidP="00CB1509">
      <w:pPr>
        <w:rPr>
          <w:sz w:val="24"/>
          <w:szCs w:val="24"/>
        </w:rPr>
      </w:pPr>
    </w:p>
    <w:p w:rsidR="00CB1509" w:rsidRPr="009C5617" w:rsidRDefault="00E449F6" w:rsidP="00CB1509">
      <w:pPr>
        <w:numPr>
          <w:ilvl w:val="0"/>
          <w:numId w:val="6"/>
        </w:numPr>
        <w:contextualSpacing/>
        <w:rPr>
          <w:sz w:val="24"/>
          <w:szCs w:val="24"/>
        </w:rPr>
      </w:pPr>
      <w:r w:rsidRPr="009C5617">
        <w:rPr>
          <w:sz w:val="24"/>
          <w:szCs w:val="24"/>
        </w:rPr>
        <w:t xml:space="preserve">NHS debtors </w:t>
      </w:r>
      <w:r w:rsidR="009C5617" w:rsidRPr="009C5617">
        <w:rPr>
          <w:sz w:val="24"/>
          <w:szCs w:val="24"/>
        </w:rPr>
        <w:t xml:space="preserve">continued to </w:t>
      </w:r>
      <w:r w:rsidR="00A65520" w:rsidRPr="009C5617">
        <w:rPr>
          <w:sz w:val="24"/>
          <w:szCs w:val="24"/>
        </w:rPr>
        <w:t>improve</w:t>
      </w:r>
      <w:r w:rsidR="00864BBA" w:rsidRPr="009C5617">
        <w:rPr>
          <w:sz w:val="24"/>
          <w:szCs w:val="24"/>
        </w:rPr>
        <w:t xml:space="preserve"> in month </w:t>
      </w:r>
      <w:r w:rsidR="009C5617" w:rsidRPr="009C5617">
        <w:rPr>
          <w:sz w:val="24"/>
          <w:szCs w:val="24"/>
        </w:rPr>
        <w:t xml:space="preserve">but </w:t>
      </w:r>
      <w:r w:rsidRPr="009C5617">
        <w:rPr>
          <w:sz w:val="24"/>
          <w:szCs w:val="24"/>
        </w:rPr>
        <w:t>still r</w:t>
      </w:r>
      <w:r w:rsidR="00CD10D5" w:rsidRPr="009C5617">
        <w:rPr>
          <w:sz w:val="24"/>
          <w:szCs w:val="24"/>
        </w:rPr>
        <w:t>emain high</w:t>
      </w:r>
      <w:r w:rsidRPr="009C5617">
        <w:rPr>
          <w:sz w:val="24"/>
          <w:szCs w:val="24"/>
        </w:rPr>
        <w:t xml:space="preserve"> – </w:t>
      </w:r>
      <w:r w:rsidR="00CD10D5" w:rsidRPr="009C5617">
        <w:rPr>
          <w:sz w:val="24"/>
          <w:szCs w:val="24"/>
        </w:rPr>
        <w:t>but c</w:t>
      </w:r>
      <w:r w:rsidR="00B87DCB" w:rsidRPr="009C5617">
        <w:rPr>
          <w:sz w:val="24"/>
          <w:szCs w:val="24"/>
        </w:rPr>
        <w:t>ontracting agreements are movin</w:t>
      </w:r>
      <w:r w:rsidR="00CD10D5" w:rsidRPr="009C5617">
        <w:rPr>
          <w:sz w:val="24"/>
          <w:szCs w:val="24"/>
        </w:rPr>
        <w:t>g forward to encou</w:t>
      </w:r>
      <w:r w:rsidR="00B87DCB" w:rsidRPr="009C5617">
        <w:rPr>
          <w:sz w:val="24"/>
          <w:szCs w:val="24"/>
        </w:rPr>
        <w:t>rage cleaner and quicker payments.</w:t>
      </w:r>
    </w:p>
    <w:p w:rsidR="00CB1509" w:rsidRPr="009C5617" w:rsidRDefault="00CB1509" w:rsidP="00CB1509">
      <w:pPr>
        <w:ind w:left="720"/>
        <w:contextualSpacing/>
        <w:rPr>
          <w:sz w:val="24"/>
          <w:szCs w:val="24"/>
          <w:highlight w:val="yellow"/>
        </w:rPr>
      </w:pPr>
    </w:p>
    <w:p w:rsidR="00CB1509" w:rsidRPr="009C5617" w:rsidRDefault="00B87DCB" w:rsidP="00CB1509">
      <w:pPr>
        <w:numPr>
          <w:ilvl w:val="0"/>
          <w:numId w:val="6"/>
        </w:numPr>
        <w:contextualSpacing/>
        <w:rPr>
          <w:sz w:val="24"/>
          <w:szCs w:val="24"/>
        </w:rPr>
      </w:pPr>
      <w:r w:rsidRPr="009C5617">
        <w:rPr>
          <w:sz w:val="24"/>
          <w:szCs w:val="24"/>
        </w:rPr>
        <w:t xml:space="preserve">Cash levels </w:t>
      </w:r>
      <w:r w:rsidR="009C5617" w:rsidRPr="009C5617">
        <w:rPr>
          <w:sz w:val="24"/>
          <w:szCs w:val="24"/>
        </w:rPr>
        <w:t xml:space="preserve">on the face of it </w:t>
      </w:r>
      <w:r w:rsidRPr="009C5617">
        <w:rPr>
          <w:sz w:val="24"/>
          <w:szCs w:val="24"/>
        </w:rPr>
        <w:t>appear</w:t>
      </w:r>
      <w:r w:rsidR="00E449F6" w:rsidRPr="009C5617">
        <w:rPr>
          <w:sz w:val="24"/>
          <w:szCs w:val="24"/>
        </w:rPr>
        <w:t xml:space="preserve"> comfortable</w:t>
      </w:r>
      <w:r w:rsidR="00A65520">
        <w:rPr>
          <w:sz w:val="24"/>
          <w:szCs w:val="24"/>
        </w:rPr>
        <w:t>,</w:t>
      </w:r>
      <w:r w:rsidRPr="009C5617">
        <w:rPr>
          <w:sz w:val="24"/>
          <w:szCs w:val="24"/>
        </w:rPr>
        <w:t xml:space="preserve"> but with much of this cash balance set aside for capital commitments, little is available for creditor payments</w:t>
      </w:r>
      <w:r w:rsidR="009C5617" w:rsidRPr="009C5617">
        <w:rPr>
          <w:sz w:val="24"/>
          <w:szCs w:val="24"/>
        </w:rPr>
        <w:t xml:space="preserve"> which are now at an unacceptably high level</w:t>
      </w:r>
      <w:r w:rsidRPr="009C5617">
        <w:rPr>
          <w:sz w:val="24"/>
          <w:szCs w:val="24"/>
        </w:rPr>
        <w:t>.</w:t>
      </w:r>
      <w:r w:rsidR="009C5617" w:rsidRPr="009C5617">
        <w:rPr>
          <w:sz w:val="24"/>
          <w:szCs w:val="24"/>
        </w:rPr>
        <w:t xml:space="preserve"> As loan drawdowns can only be in line with planned deficit levels this is further compounding the strain on Creditor balances. The Trust has applied for exceptional working capital to help reduce </w:t>
      </w:r>
      <w:r w:rsidR="00A65520" w:rsidRPr="009C5617">
        <w:rPr>
          <w:sz w:val="24"/>
          <w:szCs w:val="24"/>
        </w:rPr>
        <w:t>its</w:t>
      </w:r>
      <w:r w:rsidR="009C5617" w:rsidRPr="009C5617">
        <w:rPr>
          <w:sz w:val="24"/>
          <w:szCs w:val="24"/>
        </w:rPr>
        <w:t xml:space="preserve"> creditor balances.</w:t>
      </w:r>
    </w:p>
    <w:p w:rsidR="00B87DCB" w:rsidRPr="00CA26A7" w:rsidRDefault="00B87DCB" w:rsidP="00B87DCB">
      <w:pPr>
        <w:pStyle w:val="ListParagraph"/>
        <w:rPr>
          <w:color w:val="FF0000"/>
          <w:sz w:val="24"/>
          <w:szCs w:val="24"/>
        </w:rPr>
      </w:pPr>
    </w:p>
    <w:p w:rsidR="00E449F6" w:rsidRPr="002B3417" w:rsidRDefault="00E449F6" w:rsidP="00CB1509">
      <w:pPr>
        <w:numPr>
          <w:ilvl w:val="0"/>
          <w:numId w:val="6"/>
        </w:numPr>
        <w:contextualSpacing/>
        <w:rPr>
          <w:sz w:val="24"/>
          <w:szCs w:val="24"/>
        </w:rPr>
      </w:pPr>
      <w:r w:rsidRPr="002B3417">
        <w:rPr>
          <w:sz w:val="24"/>
          <w:szCs w:val="24"/>
        </w:rPr>
        <w:t xml:space="preserve">Loans </w:t>
      </w:r>
      <w:r w:rsidR="00F558E0" w:rsidRPr="002B3417">
        <w:rPr>
          <w:sz w:val="24"/>
          <w:szCs w:val="24"/>
        </w:rPr>
        <w:t>levels continue to increase, with the linked interest burden.</w:t>
      </w:r>
    </w:p>
    <w:p w:rsidR="00CB1509" w:rsidRPr="002B3417" w:rsidRDefault="00CB1509" w:rsidP="00CB1509">
      <w:pPr>
        <w:rPr>
          <w:sz w:val="24"/>
          <w:szCs w:val="24"/>
        </w:rPr>
      </w:pPr>
    </w:p>
    <w:p w:rsidR="00CB1509" w:rsidRPr="00CA26A7" w:rsidRDefault="00CB1509" w:rsidP="00CB1509">
      <w:pPr>
        <w:rPr>
          <w:color w:val="FF0000"/>
          <w:sz w:val="24"/>
          <w:szCs w:val="24"/>
        </w:rPr>
      </w:pPr>
      <w:r w:rsidRPr="002B3417">
        <w:rPr>
          <w:sz w:val="24"/>
          <w:szCs w:val="24"/>
        </w:rPr>
        <w:t xml:space="preserve">The balance sheet </w:t>
      </w:r>
      <w:r w:rsidR="00F558E0" w:rsidRPr="002B3417">
        <w:rPr>
          <w:sz w:val="24"/>
          <w:szCs w:val="24"/>
        </w:rPr>
        <w:t>reflects the dependence on external support to maintain operations</w:t>
      </w:r>
      <w:r w:rsidR="00F558E0" w:rsidRPr="00CA26A7">
        <w:rPr>
          <w:color w:val="FF0000"/>
          <w:sz w:val="24"/>
          <w:szCs w:val="24"/>
        </w:rPr>
        <w:t>.</w:t>
      </w:r>
    </w:p>
    <w:p w:rsidR="00CB1509" w:rsidRPr="004C6BF9" w:rsidRDefault="00CB1509" w:rsidP="00581D55">
      <w:pPr>
        <w:rPr>
          <w:color w:val="FF0000"/>
        </w:rPr>
      </w:pPr>
    </w:p>
    <w:p w:rsidR="001B09DA" w:rsidRPr="004C6BF9" w:rsidRDefault="001B09DA" w:rsidP="00581D55">
      <w:pPr>
        <w:rPr>
          <w:b/>
          <w:color w:val="FF0000"/>
          <w:sz w:val="24"/>
          <w:szCs w:val="24"/>
        </w:rPr>
      </w:pPr>
    </w:p>
    <w:p w:rsidR="00635CC8" w:rsidRPr="00864BBA" w:rsidRDefault="0091716B" w:rsidP="00635CC8">
      <w:pPr>
        <w:rPr>
          <w:b/>
          <w:sz w:val="24"/>
          <w:szCs w:val="24"/>
        </w:rPr>
      </w:pPr>
      <w:r w:rsidRPr="00DD3D7E">
        <w:br w:type="page"/>
      </w:r>
      <w:r w:rsidR="00877AB4" w:rsidRPr="00864BBA">
        <w:rPr>
          <w:b/>
          <w:sz w:val="24"/>
          <w:szCs w:val="24"/>
        </w:rPr>
        <w:lastRenderedPageBreak/>
        <w:t>8</w:t>
      </w:r>
      <w:r w:rsidR="00635CC8" w:rsidRPr="00864BBA">
        <w:rPr>
          <w:b/>
          <w:sz w:val="24"/>
          <w:szCs w:val="24"/>
        </w:rPr>
        <w:t>.</w:t>
      </w:r>
      <w:r w:rsidR="00635CC8" w:rsidRPr="00864BBA">
        <w:rPr>
          <w:b/>
          <w:sz w:val="24"/>
          <w:szCs w:val="24"/>
        </w:rPr>
        <w:tab/>
      </w:r>
      <w:r w:rsidR="00147246" w:rsidRPr="00864BBA">
        <w:rPr>
          <w:b/>
          <w:sz w:val="24"/>
          <w:szCs w:val="24"/>
        </w:rPr>
        <w:t>Reserve Drawings and Financial Plan Changes</w:t>
      </w:r>
      <w:r w:rsidR="00635CC8" w:rsidRPr="00864BBA">
        <w:rPr>
          <w:b/>
          <w:sz w:val="24"/>
          <w:szCs w:val="24"/>
        </w:rPr>
        <w:t>:</w:t>
      </w:r>
    </w:p>
    <w:p w:rsidR="00635CC8" w:rsidRPr="00864BBA" w:rsidRDefault="00635CC8" w:rsidP="00635CC8">
      <w:pPr>
        <w:rPr>
          <w:b/>
          <w:sz w:val="24"/>
          <w:szCs w:val="24"/>
        </w:rPr>
      </w:pPr>
    </w:p>
    <w:p w:rsidR="00B93992" w:rsidRPr="00864BBA" w:rsidRDefault="00F717E6" w:rsidP="00D567A1">
      <w:pPr>
        <w:rPr>
          <w:sz w:val="24"/>
          <w:szCs w:val="24"/>
        </w:rPr>
      </w:pPr>
      <w:r w:rsidRPr="00864BBA">
        <w:rPr>
          <w:sz w:val="24"/>
          <w:szCs w:val="24"/>
        </w:rPr>
        <w:t>The Trust plan included</w:t>
      </w:r>
      <w:r w:rsidR="00D567A1" w:rsidRPr="00864BBA">
        <w:rPr>
          <w:sz w:val="24"/>
          <w:szCs w:val="24"/>
        </w:rPr>
        <w:t xml:space="preserve"> specific earmarked reserves. </w:t>
      </w:r>
      <w:r w:rsidR="00B93992" w:rsidRPr="00864BBA">
        <w:rPr>
          <w:sz w:val="24"/>
          <w:szCs w:val="24"/>
        </w:rPr>
        <w:t>The original planning assumptions have been adjusted for the following:</w:t>
      </w:r>
    </w:p>
    <w:p w:rsidR="00B93992" w:rsidRDefault="00B93992" w:rsidP="00D567A1">
      <w:pPr>
        <w:rPr>
          <w:color w:val="FF0000"/>
          <w:sz w:val="24"/>
          <w:szCs w:val="24"/>
        </w:rPr>
      </w:pPr>
    </w:p>
    <w:p w:rsidR="00B93992" w:rsidRPr="00864BBA" w:rsidRDefault="00B93992" w:rsidP="00B93992">
      <w:pPr>
        <w:pStyle w:val="ListParagraph"/>
        <w:numPr>
          <w:ilvl w:val="0"/>
          <w:numId w:val="37"/>
        </w:numPr>
        <w:rPr>
          <w:sz w:val="24"/>
          <w:szCs w:val="24"/>
        </w:rPr>
      </w:pPr>
      <w:r w:rsidRPr="00864BBA">
        <w:rPr>
          <w:sz w:val="24"/>
          <w:szCs w:val="24"/>
        </w:rPr>
        <w:t>Pay and Inflation Reserve has been increased by £4.01m following the recently agreed Agenda for Change Pay Awards which is income backed.</w:t>
      </w:r>
    </w:p>
    <w:p w:rsidR="00B93992" w:rsidRPr="00864BBA" w:rsidRDefault="00B93992" w:rsidP="00B93992">
      <w:pPr>
        <w:pStyle w:val="ListParagraph"/>
        <w:numPr>
          <w:ilvl w:val="0"/>
          <w:numId w:val="37"/>
        </w:numPr>
        <w:rPr>
          <w:sz w:val="24"/>
          <w:szCs w:val="24"/>
        </w:rPr>
      </w:pPr>
      <w:r w:rsidRPr="00864BBA">
        <w:rPr>
          <w:sz w:val="24"/>
          <w:szCs w:val="24"/>
        </w:rPr>
        <w:t xml:space="preserve">Activity Reserve has been reduced </w:t>
      </w:r>
      <w:r w:rsidR="00864BBA" w:rsidRPr="00864BBA">
        <w:rPr>
          <w:sz w:val="24"/>
          <w:szCs w:val="24"/>
        </w:rPr>
        <w:t>by £0.83</w:t>
      </w:r>
      <w:r w:rsidRPr="00864BBA">
        <w:rPr>
          <w:sz w:val="24"/>
          <w:szCs w:val="24"/>
        </w:rPr>
        <w:t>m following the 20</w:t>
      </w:r>
      <w:r w:rsidRPr="00864BBA">
        <w:rPr>
          <w:sz w:val="24"/>
          <w:szCs w:val="24"/>
          <w:vertAlign w:val="superscript"/>
        </w:rPr>
        <w:t>th</w:t>
      </w:r>
      <w:r w:rsidRPr="00864BBA">
        <w:rPr>
          <w:sz w:val="24"/>
          <w:szCs w:val="24"/>
        </w:rPr>
        <w:t xml:space="preserve"> June plan </w:t>
      </w:r>
      <w:r w:rsidR="00864BBA" w:rsidRPr="00864BBA">
        <w:rPr>
          <w:sz w:val="24"/>
          <w:szCs w:val="24"/>
        </w:rPr>
        <w:t>re</w:t>
      </w:r>
      <w:r w:rsidRPr="00864BBA">
        <w:rPr>
          <w:sz w:val="24"/>
          <w:szCs w:val="24"/>
        </w:rPr>
        <w:t xml:space="preserve">submission to </w:t>
      </w:r>
      <w:r w:rsidR="00864BBA" w:rsidRPr="00864BBA">
        <w:rPr>
          <w:sz w:val="24"/>
          <w:szCs w:val="24"/>
        </w:rPr>
        <w:t xml:space="preserve">which </w:t>
      </w:r>
      <w:r w:rsidRPr="00864BBA">
        <w:rPr>
          <w:sz w:val="24"/>
          <w:szCs w:val="24"/>
        </w:rPr>
        <w:t>reduce</w:t>
      </w:r>
      <w:r w:rsidR="00864BBA" w:rsidRPr="00864BBA">
        <w:rPr>
          <w:sz w:val="24"/>
          <w:szCs w:val="24"/>
        </w:rPr>
        <w:t>d</w:t>
      </w:r>
      <w:r w:rsidRPr="00864BBA">
        <w:rPr>
          <w:sz w:val="24"/>
          <w:szCs w:val="24"/>
        </w:rPr>
        <w:t xml:space="preserve"> the</w:t>
      </w:r>
      <w:r w:rsidR="00864BBA" w:rsidRPr="00864BBA">
        <w:rPr>
          <w:sz w:val="24"/>
          <w:szCs w:val="24"/>
        </w:rPr>
        <w:t xml:space="preserve"> initial Winter Resilience</w:t>
      </w:r>
      <w:r w:rsidRPr="00864BBA">
        <w:rPr>
          <w:sz w:val="24"/>
          <w:szCs w:val="24"/>
        </w:rPr>
        <w:t xml:space="preserve"> envelope linked to improved length of stay and reduced dependence of escalation beds</w:t>
      </w:r>
    </w:p>
    <w:p w:rsidR="00B93992" w:rsidRPr="00864BBA" w:rsidRDefault="00B93992" w:rsidP="00B93992">
      <w:pPr>
        <w:pStyle w:val="ListParagraph"/>
        <w:numPr>
          <w:ilvl w:val="0"/>
          <w:numId w:val="37"/>
        </w:numPr>
        <w:rPr>
          <w:sz w:val="24"/>
          <w:szCs w:val="24"/>
        </w:rPr>
      </w:pPr>
      <w:r w:rsidRPr="00864BBA">
        <w:rPr>
          <w:sz w:val="24"/>
          <w:szCs w:val="24"/>
        </w:rPr>
        <w:t xml:space="preserve">Non </w:t>
      </w:r>
      <w:r w:rsidR="002A576C" w:rsidRPr="00864BBA">
        <w:rPr>
          <w:sz w:val="24"/>
          <w:szCs w:val="24"/>
        </w:rPr>
        <w:t>Clinical</w:t>
      </w:r>
      <w:r w:rsidRPr="00864BBA">
        <w:rPr>
          <w:sz w:val="24"/>
          <w:szCs w:val="24"/>
        </w:rPr>
        <w:t xml:space="preserve"> Investments has been increased by £0.66m linked to additional support requirements to deliver additional savings above the Core £15.0m programme </w:t>
      </w:r>
      <w:r w:rsidR="002A576C" w:rsidRPr="00864BBA">
        <w:rPr>
          <w:sz w:val="24"/>
          <w:szCs w:val="24"/>
        </w:rPr>
        <w:t>relating to Service transformation and GIRFT programmes.</w:t>
      </w:r>
    </w:p>
    <w:p w:rsidR="00B93992" w:rsidRDefault="00B93992" w:rsidP="00B93992">
      <w:pPr>
        <w:rPr>
          <w:color w:val="FF0000"/>
          <w:sz w:val="24"/>
          <w:szCs w:val="24"/>
        </w:rPr>
      </w:pPr>
    </w:p>
    <w:p w:rsidR="003955E9" w:rsidRPr="00864BBA" w:rsidRDefault="001E30E8" w:rsidP="00B93992">
      <w:pPr>
        <w:rPr>
          <w:sz w:val="24"/>
          <w:szCs w:val="24"/>
        </w:rPr>
      </w:pPr>
      <w:r w:rsidRPr="00864BBA">
        <w:rPr>
          <w:sz w:val="24"/>
          <w:szCs w:val="24"/>
        </w:rPr>
        <w:t>C</w:t>
      </w:r>
      <w:r w:rsidR="002A576C" w:rsidRPr="00864BBA">
        <w:rPr>
          <w:sz w:val="24"/>
          <w:szCs w:val="24"/>
        </w:rPr>
        <w:t>ommitments made against these</w:t>
      </w:r>
      <w:r w:rsidR="00D567A1" w:rsidRPr="00864BBA">
        <w:rPr>
          <w:sz w:val="24"/>
          <w:szCs w:val="24"/>
        </w:rPr>
        <w:t xml:space="preserve"> reserves</w:t>
      </w:r>
      <w:r w:rsidRPr="00864BBA">
        <w:rPr>
          <w:sz w:val="24"/>
          <w:szCs w:val="24"/>
        </w:rPr>
        <w:t xml:space="preserve"> are monitored closely</w:t>
      </w:r>
      <w:r w:rsidR="00D567A1" w:rsidRPr="00864BBA">
        <w:rPr>
          <w:sz w:val="24"/>
          <w:szCs w:val="24"/>
        </w:rPr>
        <w:t>, to</w:t>
      </w:r>
      <w:r w:rsidRPr="00864BBA">
        <w:rPr>
          <w:sz w:val="24"/>
          <w:szCs w:val="24"/>
        </w:rPr>
        <w:t xml:space="preserve"> identify potential risks early.</w:t>
      </w:r>
      <w:r w:rsidR="00D567A1" w:rsidRPr="00864BBA">
        <w:rPr>
          <w:sz w:val="24"/>
          <w:szCs w:val="24"/>
        </w:rPr>
        <w:t xml:space="preserve"> Also, a tr</w:t>
      </w:r>
      <w:r w:rsidR="003955E9" w:rsidRPr="00864BBA">
        <w:rPr>
          <w:sz w:val="24"/>
          <w:szCs w:val="24"/>
        </w:rPr>
        <w:t xml:space="preserve">ansparent reporting process </w:t>
      </w:r>
      <w:r w:rsidR="00D567A1" w:rsidRPr="00864BBA">
        <w:rPr>
          <w:sz w:val="24"/>
          <w:szCs w:val="24"/>
        </w:rPr>
        <w:t>support</w:t>
      </w:r>
      <w:r w:rsidR="003955E9" w:rsidRPr="00864BBA">
        <w:rPr>
          <w:sz w:val="24"/>
          <w:szCs w:val="24"/>
        </w:rPr>
        <w:t>s</w:t>
      </w:r>
      <w:r w:rsidR="00D567A1" w:rsidRPr="00864BBA">
        <w:rPr>
          <w:sz w:val="24"/>
          <w:szCs w:val="24"/>
        </w:rPr>
        <w:t xml:space="preserve"> effective sign off of material changes to plan by the Trust </w:t>
      </w:r>
      <w:r w:rsidR="003955E9" w:rsidRPr="00864BBA">
        <w:rPr>
          <w:sz w:val="24"/>
          <w:szCs w:val="24"/>
        </w:rPr>
        <w:t xml:space="preserve">Management </w:t>
      </w:r>
      <w:r w:rsidR="00D567A1" w:rsidRPr="00864BBA">
        <w:rPr>
          <w:sz w:val="24"/>
          <w:szCs w:val="24"/>
        </w:rPr>
        <w:t>Board.</w:t>
      </w:r>
    </w:p>
    <w:p w:rsidR="003955E9" w:rsidRPr="00864BBA" w:rsidRDefault="003955E9" w:rsidP="00D567A1">
      <w:pPr>
        <w:rPr>
          <w:sz w:val="24"/>
          <w:szCs w:val="24"/>
        </w:rPr>
      </w:pPr>
    </w:p>
    <w:p w:rsidR="00D567A1" w:rsidRPr="00864BBA" w:rsidRDefault="00D567A1" w:rsidP="00D567A1">
      <w:pPr>
        <w:rPr>
          <w:sz w:val="24"/>
          <w:szCs w:val="24"/>
        </w:rPr>
      </w:pPr>
      <w:r w:rsidRPr="00864BBA">
        <w:rPr>
          <w:sz w:val="24"/>
          <w:szCs w:val="24"/>
        </w:rPr>
        <w:t xml:space="preserve">The table below shows the current clinical and </w:t>
      </w:r>
      <w:r w:rsidR="00871DCF" w:rsidRPr="00864BBA">
        <w:rPr>
          <w:sz w:val="24"/>
          <w:szCs w:val="24"/>
        </w:rPr>
        <w:t>non-clinical</w:t>
      </w:r>
      <w:r w:rsidRPr="00864BBA">
        <w:rPr>
          <w:sz w:val="24"/>
          <w:szCs w:val="24"/>
        </w:rPr>
        <w:t xml:space="preserve"> investments</w:t>
      </w:r>
      <w:r w:rsidR="00E06DD3" w:rsidRPr="00864BBA">
        <w:rPr>
          <w:sz w:val="24"/>
          <w:szCs w:val="24"/>
        </w:rPr>
        <w:t xml:space="preserve"> committed or forecast</w:t>
      </w:r>
      <w:r w:rsidR="004F3952" w:rsidRPr="00864BBA">
        <w:rPr>
          <w:sz w:val="24"/>
          <w:szCs w:val="24"/>
        </w:rPr>
        <w:t>:</w:t>
      </w:r>
    </w:p>
    <w:p w:rsidR="003955E9" w:rsidRDefault="003955E9" w:rsidP="00D567A1">
      <w:pPr>
        <w:rPr>
          <w:color w:val="FF0000"/>
        </w:rPr>
      </w:pPr>
    </w:p>
    <w:tbl>
      <w:tblPr>
        <w:tblW w:w="4911" w:type="pct"/>
        <w:tblInd w:w="108" w:type="dxa"/>
        <w:tblLayout w:type="fixed"/>
        <w:tblLook w:val="04A0" w:firstRow="1" w:lastRow="0" w:firstColumn="1" w:lastColumn="0" w:noHBand="0" w:noVBand="1"/>
      </w:tblPr>
      <w:tblGrid>
        <w:gridCol w:w="3403"/>
        <w:gridCol w:w="1276"/>
        <w:gridCol w:w="1276"/>
        <w:gridCol w:w="1278"/>
        <w:gridCol w:w="1557"/>
        <w:gridCol w:w="1702"/>
      </w:tblGrid>
      <w:tr w:rsidR="003955E9" w:rsidRPr="003955E9" w:rsidTr="00DE15FA">
        <w:trPr>
          <w:trHeight w:val="975"/>
        </w:trPr>
        <w:tc>
          <w:tcPr>
            <w:tcW w:w="162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955E9" w:rsidRDefault="003955E9" w:rsidP="00DE15FA">
            <w:pPr>
              <w:jc w:val="left"/>
              <w:rPr>
                <w:rFonts w:ascii="Calibri" w:eastAsia="Times New Roman" w:hAnsi="Calibri" w:cs="Times New Roman"/>
                <w:b/>
                <w:bCs/>
                <w:color w:val="000000"/>
                <w:lang w:eastAsia="en-GB"/>
              </w:rPr>
            </w:pPr>
          </w:p>
          <w:p w:rsidR="003955E9" w:rsidRDefault="003955E9" w:rsidP="00DE15FA">
            <w:pPr>
              <w:jc w:val="left"/>
              <w:rPr>
                <w:rFonts w:ascii="Calibri" w:eastAsia="Times New Roman" w:hAnsi="Calibri" w:cs="Times New Roman"/>
                <w:b/>
                <w:bCs/>
                <w:color w:val="000000"/>
                <w:lang w:eastAsia="en-GB"/>
              </w:rPr>
            </w:pPr>
          </w:p>
          <w:p w:rsidR="003955E9" w:rsidRDefault="003955E9" w:rsidP="00DE15FA">
            <w:pPr>
              <w:jc w:val="left"/>
              <w:rPr>
                <w:rFonts w:ascii="Calibri" w:eastAsia="Times New Roman" w:hAnsi="Calibri" w:cs="Times New Roman"/>
                <w:b/>
                <w:bCs/>
                <w:color w:val="000000"/>
                <w:lang w:eastAsia="en-GB"/>
              </w:rPr>
            </w:pPr>
          </w:p>
          <w:p w:rsidR="003955E9" w:rsidRPr="003955E9" w:rsidRDefault="001B30DE" w:rsidP="00B93992">
            <w:pPr>
              <w:jc w:val="lef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Adjusted </w:t>
            </w:r>
            <w:r w:rsidR="00B93992">
              <w:rPr>
                <w:rFonts w:ascii="Calibri" w:eastAsia="Times New Roman" w:hAnsi="Calibri" w:cs="Times New Roman"/>
                <w:b/>
                <w:bCs/>
                <w:color w:val="000000"/>
                <w:lang w:eastAsia="en-GB"/>
              </w:rPr>
              <w:t xml:space="preserve">Opening </w:t>
            </w:r>
            <w:r>
              <w:rPr>
                <w:rFonts w:ascii="Calibri" w:eastAsia="Times New Roman" w:hAnsi="Calibri" w:cs="Times New Roman"/>
                <w:b/>
                <w:bCs/>
                <w:color w:val="000000"/>
                <w:lang w:eastAsia="en-GB"/>
              </w:rPr>
              <w:t>Value</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rsidR="003955E9" w:rsidRPr="003955E9" w:rsidRDefault="003955E9" w:rsidP="003955E9">
            <w:pPr>
              <w:jc w:val="center"/>
              <w:rPr>
                <w:rFonts w:ascii="Calibri" w:eastAsia="Times New Roman" w:hAnsi="Calibri" w:cs="Times New Roman"/>
                <w:b/>
                <w:bCs/>
                <w:sz w:val="20"/>
                <w:szCs w:val="20"/>
                <w:lang w:eastAsia="en-GB"/>
              </w:rPr>
            </w:pPr>
            <w:r w:rsidRPr="003955E9">
              <w:rPr>
                <w:rFonts w:ascii="Calibri" w:eastAsia="Times New Roman" w:hAnsi="Calibri" w:cs="Times New Roman"/>
                <w:b/>
                <w:bCs/>
                <w:sz w:val="20"/>
                <w:szCs w:val="20"/>
                <w:lang w:eastAsia="en-GB"/>
              </w:rPr>
              <w:t>Pay and Inflation:</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rsidR="003955E9" w:rsidRPr="003955E9" w:rsidRDefault="003955E9" w:rsidP="003955E9">
            <w:pPr>
              <w:jc w:val="center"/>
              <w:rPr>
                <w:rFonts w:ascii="Calibri" w:eastAsia="Times New Roman" w:hAnsi="Calibri" w:cs="Times New Roman"/>
                <w:b/>
                <w:bCs/>
                <w:sz w:val="20"/>
                <w:szCs w:val="20"/>
                <w:lang w:eastAsia="en-GB"/>
              </w:rPr>
            </w:pPr>
            <w:r w:rsidRPr="003955E9">
              <w:rPr>
                <w:rFonts w:ascii="Calibri" w:eastAsia="Times New Roman" w:hAnsi="Calibri" w:cs="Times New Roman"/>
                <w:b/>
                <w:bCs/>
                <w:sz w:val="20"/>
                <w:szCs w:val="20"/>
                <w:lang w:eastAsia="en-GB"/>
              </w:rPr>
              <w:t>Activity Above Outturn:</w:t>
            </w:r>
          </w:p>
        </w:tc>
        <w:tc>
          <w:tcPr>
            <w:tcW w:w="609" w:type="pct"/>
            <w:tcBorders>
              <w:top w:val="single" w:sz="4" w:space="0" w:color="auto"/>
              <w:left w:val="nil"/>
              <w:bottom w:val="single" w:sz="8" w:space="0" w:color="auto"/>
              <w:right w:val="single" w:sz="4" w:space="0" w:color="auto"/>
            </w:tcBorders>
            <w:shd w:val="clear" w:color="000000" w:fill="FFFFFF"/>
            <w:vAlign w:val="center"/>
            <w:hideMark/>
          </w:tcPr>
          <w:p w:rsidR="003955E9" w:rsidRPr="003955E9" w:rsidRDefault="003955E9" w:rsidP="003955E9">
            <w:pPr>
              <w:jc w:val="center"/>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Clinical Investments</w:t>
            </w:r>
          </w:p>
        </w:tc>
        <w:tc>
          <w:tcPr>
            <w:tcW w:w="742" w:type="pct"/>
            <w:tcBorders>
              <w:top w:val="single" w:sz="4" w:space="0" w:color="auto"/>
              <w:left w:val="nil"/>
              <w:bottom w:val="single" w:sz="8" w:space="0" w:color="auto"/>
              <w:right w:val="single" w:sz="4" w:space="0" w:color="auto"/>
            </w:tcBorders>
            <w:shd w:val="clear" w:color="000000" w:fill="FFFFFF"/>
            <w:vAlign w:val="center"/>
            <w:hideMark/>
          </w:tcPr>
          <w:p w:rsidR="003955E9" w:rsidRPr="003955E9" w:rsidRDefault="003955E9" w:rsidP="003955E9">
            <w:pPr>
              <w:jc w:val="center"/>
              <w:rPr>
                <w:rFonts w:ascii="Calibri" w:eastAsia="Times New Roman" w:hAnsi="Calibri" w:cs="Times New Roman"/>
                <w:b/>
                <w:bCs/>
                <w:sz w:val="20"/>
                <w:szCs w:val="20"/>
                <w:lang w:eastAsia="en-GB"/>
              </w:rPr>
            </w:pPr>
            <w:r w:rsidRPr="003955E9">
              <w:rPr>
                <w:rFonts w:ascii="Calibri" w:eastAsia="Times New Roman" w:hAnsi="Calibri" w:cs="Times New Roman"/>
                <w:b/>
                <w:bCs/>
                <w:sz w:val="20"/>
                <w:szCs w:val="20"/>
                <w:lang w:eastAsia="en-GB"/>
              </w:rPr>
              <w:t>Non-Clinical Investments</w:t>
            </w:r>
          </w:p>
        </w:tc>
        <w:tc>
          <w:tcPr>
            <w:tcW w:w="811" w:type="pct"/>
            <w:tcBorders>
              <w:top w:val="single" w:sz="4" w:space="0" w:color="auto"/>
              <w:left w:val="double" w:sz="6" w:space="0" w:color="auto"/>
              <w:bottom w:val="single" w:sz="8" w:space="0" w:color="auto"/>
              <w:right w:val="double" w:sz="6" w:space="0" w:color="auto"/>
            </w:tcBorders>
            <w:shd w:val="clear" w:color="auto" w:fill="auto"/>
            <w:vAlign w:val="center"/>
            <w:hideMark/>
          </w:tcPr>
          <w:p w:rsidR="003955E9" w:rsidRPr="003955E9" w:rsidRDefault="003955E9" w:rsidP="003955E9">
            <w:pPr>
              <w:jc w:val="center"/>
              <w:rPr>
                <w:rFonts w:ascii="Calibri" w:eastAsia="Times New Roman" w:hAnsi="Calibri" w:cs="Times New Roman"/>
                <w:b/>
                <w:bCs/>
                <w:sz w:val="20"/>
                <w:szCs w:val="20"/>
                <w:lang w:eastAsia="en-GB"/>
              </w:rPr>
            </w:pPr>
            <w:r w:rsidRPr="003955E9">
              <w:rPr>
                <w:rFonts w:ascii="Calibri" w:eastAsia="Times New Roman" w:hAnsi="Calibri" w:cs="Times New Roman"/>
                <w:b/>
                <w:bCs/>
                <w:sz w:val="20"/>
                <w:szCs w:val="20"/>
                <w:lang w:eastAsia="en-GB"/>
              </w:rPr>
              <w:t>Total</w:t>
            </w:r>
          </w:p>
        </w:tc>
      </w:tr>
      <w:tr w:rsidR="003955E9" w:rsidRPr="003955E9" w:rsidTr="003955E9">
        <w:trPr>
          <w:trHeight w:val="315"/>
        </w:trPr>
        <w:tc>
          <w:tcPr>
            <w:tcW w:w="1622" w:type="pct"/>
            <w:vMerge/>
            <w:tcBorders>
              <w:top w:val="single" w:sz="4" w:space="0" w:color="auto"/>
              <w:left w:val="single" w:sz="4" w:space="0" w:color="auto"/>
              <w:bottom w:val="single" w:sz="4" w:space="0" w:color="000000"/>
              <w:right w:val="single" w:sz="4" w:space="0" w:color="auto"/>
            </w:tcBorders>
            <w:vAlign w:val="center"/>
            <w:hideMark/>
          </w:tcPr>
          <w:p w:rsidR="003955E9" w:rsidRPr="003955E9" w:rsidRDefault="003955E9" w:rsidP="003955E9">
            <w:pPr>
              <w:jc w:val="left"/>
              <w:rPr>
                <w:rFonts w:ascii="Calibri" w:eastAsia="Times New Roman" w:hAnsi="Calibri" w:cs="Times New Roman"/>
                <w:b/>
                <w:bCs/>
                <w:color w:val="000000"/>
                <w:lang w:eastAsia="en-GB"/>
              </w:rPr>
            </w:pPr>
          </w:p>
        </w:tc>
        <w:tc>
          <w:tcPr>
            <w:tcW w:w="608" w:type="pct"/>
            <w:tcBorders>
              <w:top w:val="nil"/>
              <w:left w:val="single" w:sz="4" w:space="0" w:color="auto"/>
              <w:bottom w:val="single" w:sz="8" w:space="0" w:color="auto"/>
              <w:right w:val="single" w:sz="4" w:space="0" w:color="auto"/>
            </w:tcBorders>
            <w:shd w:val="clear" w:color="auto" w:fill="auto"/>
            <w:noWrap/>
            <w:vAlign w:val="bottom"/>
            <w:hideMark/>
          </w:tcPr>
          <w:p w:rsidR="003955E9" w:rsidRPr="003955E9" w:rsidRDefault="003955E9" w:rsidP="001B30DE">
            <w:pPr>
              <w:jc w:val="right"/>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1</w:t>
            </w:r>
            <w:r w:rsidR="001B30DE">
              <w:rPr>
                <w:rFonts w:ascii="Calibri" w:eastAsia="Times New Roman" w:hAnsi="Calibri" w:cs="Times New Roman"/>
                <w:b/>
                <w:bCs/>
                <w:color w:val="000000"/>
                <w:lang w:eastAsia="en-GB"/>
              </w:rPr>
              <w:t>4,584</w:t>
            </w:r>
            <w:r w:rsidRPr="003955E9">
              <w:rPr>
                <w:rFonts w:ascii="Calibri" w:eastAsia="Times New Roman" w:hAnsi="Calibri" w:cs="Times New Roman"/>
                <w:b/>
                <w:bCs/>
                <w:color w:val="000000"/>
                <w:lang w:eastAsia="en-GB"/>
              </w:rPr>
              <w:t>.6</w:t>
            </w:r>
          </w:p>
        </w:tc>
        <w:tc>
          <w:tcPr>
            <w:tcW w:w="608" w:type="pct"/>
            <w:tcBorders>
              <w:top w:val="nil"/>
              <w:left w:val="nil"/>
              <w:bottom w:val="single" w:sz="8" w:space="0" w:color="auto"/>
              <w:right w:val="single" w:sz="4" w:space="0" w:color="auto"/>
            </w:tcBorders>
            <w:shd w:val="clear" w:color="000000" w:fill="FFFFFF"/>
            <w:noWrap/>
            <w:vAlign w:val="bottom"/>
            <w:hideMark/>
          </w:tcPr>
          <w:p w:rsidR="003955E9" w:rsidRPr="003955E9" w:rsidRDefault="001B30DE" w:rsidP="003955E9">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7,419.5</w:t>
            </w:r>
          </w:p>
        </w:tc>
        <w:tc>
          <w:tcPr>
            <w:tcW w:w="609" w:type="pct"/>
            <w:tcBorders>
              <w:top w:val="nil"/>
              <w:left w:val="nil"/>
              <w:bottom w:val="single" w:sz="8" w:space="0" w:color="auto"/>
              <w:right w:val="single" w:sz="4" w:space="0" w:color="auto"/>
            </w:tcBorders>
            <w:shd w:val="clear" w:color="000000" w:fill="FFFFFF"/>
            <w:noWrap/>
            <w:vAlign w:val="bottom"/>
            <w:hideMark/>
          </w:tcPr>
          <w:p w:rsidR="003955E9" w:rsidRPr="003955E9" w:rsidRDefault="003955E9" w:rsidP="003955E9">
            <w:pPr>
              <w:jc w:val="right"/>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1,210.0</w:t>
            </w:r>
          </w:p>
        </w:tc>
        <w:tc>
          <w:tcPr>
            <w:tcW w:w="742" w:type="pct"/>
            <w:tcBorders>
              <w:top w:val="nil"/>
              <w:left w:val="nil"/>
              <w:bottom w:val="single" w:sz="8" w:space="0" w:color="auto"/>
              <w:right w:val="single" w:sz="4" w:space="0" w:color="auto"/>
            </w:tcBorders>
            <w:shd w:val="clear" w:color="000000" w:fill="FFFFFF"/>
            <w:noWrap/>
            <w:vAlign w:val="bottom"/>
            <w:hideMark/>
          </w:tcPr>
          <w:p w:rsidR="003955E9" w:rsidRPr="003955E9" w:rsidRDefault="001B30DE" w:rsidP="003955E9">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1,</w:t>
            </w:r>
            <w:r w:rsidR="003955E9" w:rsidRPr="003955E9">
              <w:rPr>
                <w:rFonts w:ascii="Calibri" w:eastAsia="Times New Roman" w:hAnsi="Calibri" w:cs="Times New Roman"/>
                <w:b/>
                <w:bCs/>
                <w:color w:val="000000"/>
                <w:lang w:eastAsia="en-GB"/>
              </w:rPr>
              <w:t>7</w:t>
            </w:r>
            <w:r>
              <w:rPr>
                <w:rFonts w:ascii="Calibri" w:eastAsia="Times New Roman" w:hAnsi="Calibri" w:cs="Times New Roman"/>
                <w:b/>
                <w:bCs/>
                <w:color w:val="000000"/>
                <w:lang w:eastAsia="en-GB"/>
              </w:rPr>
              <w:t>3</w:t>
            </w:r>
            <w:r w:rsidR="003955E9" w:rsidRPr="003955E9">
              <w:rPr>
                <w:rFonts w:ascii="Calibri" w:eastAsia="Times New Roman" w:hAnsi="Calibri" w:cs="Times New Roman"/>
                <w:b/>
                <w:bCs/>
                <w:color w:val="000000"/>
                <w:lang w:eastAsia="en-GB"/>
              </w:rPr>
              <w:t>8.0</w:t>
            </w:r>
          </w:p>
        </w:tc>
        <w:tc>
          <w:tcPr>
            <w:tcW w:w="811" w:type="pct"/>
            <w:tcBorders>
              <w:top w:val="nil"/>
              <w:left w:val="double" w:sz="6" w:space="0" w:color="auto"/>
              <w:bottom w:val="single" w:sz="8" w:space="0" w:color="auto"/>
              <w:right w:val="double" w:sz="6" w:space="0" w:color="auto"/>
            </w:tcBorders>
            <w:shd w:val="clear" w:color="auto" w:fill="auto"/>
            <w:noWrap/>
            <w:vAlign w:val="bottom"/>
            <w:hideMark/>
          </w:tcPr>
          <w:p w:rsidR="003955E9" w:rsidRPr="003955E9" w:rsidRDefault="001B30DE" w:rsidP="003955E9">
            <w:pPr>
              <w:jc w:val="right"/>
              <w:rPr>
                <w:rFonts w:ascii="Calibri" w:eastAsia="Times New Roman" w:hAnsi="Calibri" w:cs="Times New Roman"/>
                <w:b/>
                <w:bCs/>
                <w:lang w:eastAsia="en-GB"/>
              </w:rPr>
            </w:pPr>
            <w:r>
              <w:rPr>
                <w:rFonts w:ascii="Calibri" w:eastAsia="Times New Roman" w:hAnsi="Calibri" w:cs="Times New Roman"/>
                <w:b/>
                <w:bCs/>
                <w:lang w:eastAsia="en-GB"/>
              </w:rPr>
              <w:t>24,952.1</w:t>
            </w:r>
          </w:p>
        </w:tc>
      </w:tr>
      <w:tr w:rsidR="003955E9" w:rsidRPr="003955E9" w:rsidTr="003955E9">
        <w:trPr>
          <w:trHeight w:val="300"/>
        </w:trPr>
        <w:tc>
          <w:tcPr>
            <w:tcW w:w="1622" w:type="pct"/>
            <w:tcBorders>
              <w:top w:val="nil"/>
              <w:left w:val="single" w:sz="4" w:space="0" w:color="auto"/>
              <w:bottom w:val="nil"/>
              <w:right w:val="single" w:sz="4" w:space="0" w:color="auto"/>
            </w:tcBorders>
            <w:shd w:val="clear" w:color="auto" w:fill="auto"/>
            <w:vAlign w:val="center"/>
            <w:hideMark/>
          </w:tcPr>
          <w:p w:rsidR="003955E9" w:rsidRPr="003955E9" w:rsidRDefault="003955E9" w:rsidP="003955E9">
            <w:pPr>
              <w:jc w:val="center"/>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 </w:t>
            </w:r>
          </w:p>
        </w:tc>
        <w:tc>
          <w:tcPr>
            <w:tcW w:w="608" w:type="pct"/>
            <w:tcBorders>
              <w:top w:val="nil"/>
              <w:left w:val="nil"/>
              <w:bottom w:val="nil"/>
              <w:right w:val="single" w:sz="4" w:space="0" w:color="auto"/>
            </w:tcBorders>
            <w:shd w:val="clear" w:color="auto" w:fill="auto"/>
            <w:noWrap/>
            <w:vAlign w:val="bottom"/>
            <w:hideMark/>
          </w:tcPr>
          <w:p w:rsidR="003955E9" w:rsidRPr="003955E9" w:rsidRDefault="003955E9" w:rsidP="003955E9">
            <w:pPr>
              <w:jc w:val="left"/>
              <w:rPr>
                <w:rFonts w:ascii="Calibri" w:eastAsia="Times New Roman" w:hAnsi="Calibri" w:cs="Times New Roman"/>
                <w:color w:val="000000"/>
                <w:lang w:eastAsia="en-GB"/>
              </w:rPr>
            </w:pPr>
            <w:r w:rsidRPr="003955E9">
              <w:rPr>
                <w:rFonts w:ascii="Calibri" w:eastAsia="Times New Roman" w:hAnsi="Calibri" w:cs="Times New Roman"/>
                <w:color w:val="000000"/>
                <w:lang w:eastAsia="en-GB"/>
              </w:rPr>
              <w:t> </w:t>
            </w:r>
          </w:p>
        </w:tc>
        <w:tc>
          <w:tcPr>
            <w:tcW w:w="608" w:type="pct"/>
            <w:tcBorders>
              <w:top w:val="nil"/>
              <w:left w:val="nil"/>
              <w:bottom w:val="nil"/>
              <w:right w:val="single" w:sz="4" w:space="0" w:color="auto"/>
            </w:tcBorders>
            <w:shd w:val="clear" w:color="auto" w:fill="auto"/>
            <w:noWrap/>
            <w:vAlign w:val="bottom"/>
            <w:hideMark/>
          </w:tcPr>
          <w:p w:rsidR="003955E9" w:rsidRPr="003955E9" w:rsidRDefault="003955E9" w:rsidP="003955E9">
            <w:pPr>
              <w:jc w:val="left"/>
              <w:rPr>
                <w:rFonts w:ascii="Calibri" w:eastAsia="Times New Roman" w:hAnsi="Calibri" w:cs="Times New Roman"/>
                <w:color w:val="000000"/>
                <w:lang w:eastAsia="en-GB"/>
              </w:rPr>
            </w:pPr>
            <w:r w:rsidRPr="003955E9">
              <w:rPr>
                <w:rFonts w:ascii="Calibri" w:eastAsia="Times New Roman" w:hAnsi="Calibri" w:cs="Times New Roman"/>
                <w:color w:val="000000"/>
                <w:lang w:eastAsia="en-GB"/>
              </w:rPr>
              <w:t> </w:t>
            </w:r>
          </w:p>
        </w:tc>
        <w:tc>
          <w:tcPr>
            <w:tcW w:w="609" w:type="pct"/>
            <w:tcBorders>
              <w:top w:val="nil"/>
              <w:left w:val="nil"/>
              <w:bottom w:val="nil"/>
              <w:right w:val="single" w:sz="4" w:space="0" w:color="auto"/>
            </w:tcBorders>
            <w:shd w:val="clear" w:color="auto" w:fill="auto"/>
            <w:noWrap/>
            <w:vAlign w:val="bottom"/>
            <w:hideMark/>
          </w:tcPr>
          <w:p w:rsidR="003955E9" w:rsidRPr="003955E9" w:rsidRDefault="003955E9" w:rsidP="003955E9">
            <w:pPr>
              <w:jc w:val="left"/>
              <w:rPr>
                <w:rFonts w:ascii="Calibri" w:eastAsia="Times New Roman" w:hAnsi="Calibri" w:cs="Times New Roman"/>
                <w:color w:val="000000"/>
                <w:lang w:eastAsia="en-GB"/>
              </w:rPr>
            </w:pPr>
            <w:r w:rsidRPr="003955E9">
              <w:rPr>
                <w:rFonts w:ascii="Calibri" w:eastAsia="Times New Roman" w:hAnsi="Calibri" w:cs="Times New Roman"/>
                <w:color w:val="000000"/>
                <w:lang w:eastAsia="en-GB"/>
              </w:rPr>
              <w:t> </w:t>
            </w:r>
          </w:p>
        </w:tc>
        <w:tc>
          <w:tcPr>
            <w:tcW w:w="742" w:type="pct"/>
            <w:tcBorders>
              <w:top w:val="nil"/>
              <w:left w:val="nil"/>
              <w:bottom w:val="nil"/>
              <w:right w:val="single" w:sz="4" w:space="0" w:color="auto"/>
            </w:tcBorders>
            <w:shd w:val="clear" w:color="auto" w:fill="auto"/>
            <w:noWrap/>
            <w:vAlign w:val="bottom"/>
            <w:hideMark/>
          </w:tcPr>
          <w:p w:rsidR="003955E9" w:rsidRPr="003955E9" w:rsidRDefault="003955E9" w:rsidP="003955E9">
            <w:pPr>
              <w:jc w:val="left"/>
              <w:rPr>
                <w:rFonts w:ascii="Calibri" w:eastAsia="Times New Roman" w:hAnsi="Calibri" w:cs="Times New Roman"/>
                <w:color w:val="000000"/>
                <w:lang w:eastAsia="en-GB"/>
              </w:rPr>
            </w:pPr>
            <w:r w:rsidRPr="003955E9">
              <w:rPr>
                <w:rFonts w:ascii="Calibri" w:eastAsia="Times New Roman" w:hAnsi="Calibri" w:cs="Times New Roman"/>
                <w:color w:val="000000"/>
                <w:lang w:eastAsia="en-GB"/>
              </w:rPr>
              <w:t> </w:t>
            </w:r>
          </w:p>
        </w:tc>
        <w:tc>
          <w:tcPr>
            <w:tcW w:w="811" w:type="pct"/>
            <w:tcBorders>
              <w:top w:val="nil"/>
              <w:left w:val="double" w:sz="6" w:space="0" w:color="auto"/>
              <w:bottom w:val="nil"/>
              <w:right w:val="double" w:sz="6" w:space="0" w:color="auto"/>
            </w:tcBorders>
            <w:shd w:val="clear" w:color="auto" w:fill="auto"/>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r>
      <w:tr w:rsidR="001B30DE" w:rsidRPr="003955E9" w:rsidTr="003955E9">
        <w:trPr>
          <w:trHeight w:val="300"/>
        </w:trPr>
        <w:tc>
          <w:tcPr>
            <w:tcW w:w="16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0DE" w:rsidRPr="003955E9" w:rsidRDefault="001B30DE" w:rsidP="003955E9">
            <w:pPr>
              <w:jc w:val="left"/>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Total Commitments</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rsidR="001B30DE" w:rsidRDefault="001B30DE">
            <w:pPr>
              <w:jc w:val="right"/>
              <w:rPr>
                <w:rFonts w:ascii="Calibri" w:hAnsi="Calibri"/>
                <w:b/>
                <w:bCs/>
              </w:rPr>
            </w:pPr>
            <w:r>
              <w:rPr>
                <w:rFonts w:ascii="Calibri" w:hAnsi="Calibri"/>
                <w:b/>
                <w:bCs/>
              </w:rPr>
              <w:t>(16,128.8)</w:t>
            </w:r>
          </w:p>
        </w:tc>
        <w:tc>
          <w:tcPr>
            <w:tcW w:w="608" w:type="pct"/>
            <w:tcBorders>
              <w:top w:val="single" w:sz="4" w:space="0" w:color="auto"/>
              <w:left w:val="nil"/>
              <w:bottom w:val="single" w:sz="4" w:space="0" w:color="auto"/>
              <w:right w:val="single" w:sz="4" w:space="0" w:color="auto"/>
            </w:tcBorders>
            <w:shd w:val="clear" w:color="000000" w:fill="FFFFFF"/>
            <w:noWrap/>
            <w:vAlign w:val="bottom"/>
            <w:hideMark/>
          </w:tcPr>
          <w:p w:rsidR="001B30DE" w:rsidRDefault="001B30DE">
            <w:pPr>
              <w:jc w:val="right"/>
              <w:rPr>
                <w:rFonts w:ascii="Calibri" w:hAnsi="Calibri"/>
                <w:b/>
                <w:bCs/>
              </w:rPr>
            </w:pPr>
            <w:r>
              <w:rPr>
                <w:rFonts w:ascii="Calibri" w:hAnsi="Calibri"/>
                <w:b/>
                <w:bCs/>
              </w:rPr>
              <w:t>(7,262.8)</w:t>
            </w:r>
          </w:p>
        </w:tc>
        <w:tc>
          <w:tcPr>
            <w:tcW w:w="609" w:type="pct"/>
            <w:tcBorders>
              <w:top w:val="single" w:sz="4" w:space="0" w:color="auto"/>
              <w:left w:val="nil"/>
              <w:bottom w:val="single" w:sz="4" w:space="0" w:color="auto"/>
              <w:right w:val="single" w:sz="4" w:space="0" w:color="auto"/>
            </w:tcBorders>
            <w:shd w:val="clear" w:color="000000" w:fill="FFFFFF"/>
            <w:noWrap/>
            <w:vAlign w:val="bottom"/>
            <w:hideMark/>
          </w:tcPr>
          <w:p w:rsidR="001B30DE" w:rsidRDefault="001B30DE">
            <w:pPr>
              <w:jc w:val="right"/>
              <w:rPr>
                <w:rFonts w:ascii="Calibri" w:hAnsi="Calibri"/>
                <w:b/>
                <w:bCs/>
              </w:rPr>
            </w:pPr>
            <w:r>
              <w:rPr>
                <w:rFonts w:ascii="Calibri" w:hAnsi="Calibri"/>
                <w:b/>
                <w:bCs/>
              </w:rPr>
              <w:t>(1,174.4)</w:t>
            </w:r>
          </w:p>
        </w:tc>
        <w:tc>
          <w:tcPr>
            <w:tcW w:w="742" w:type="pct"/>
            <w:tcBorders>
              <w:top w:val="single" w:sz="4" w:space="0" w:color="auto"/>
              <w:left w:val="nil"/>
              <w:bottom w:val="single" w:sz="4" w:space="0" w:color="auto"/>
              <w:right w:val="single" w:sz="4" w:space="0" w:color="auto"/>
            </w:tcBorders>
            <w:shd w:val="clear" w:color="000000" w:fill="FFFFFF"/>
            <w:noWrap/>
            <w:vAlign w:val="bottom"/>
            <w:hideMark/>
          </w:tcPr>
          <w:p w:rsidR="001B30DE" w:rsidRDefault="001B30DE">
            <w:pPr>
              <w:jc w:val="right"/>
              <w:rPr>
                <w:rFonts w:ascii="Calibri" w:hAnsi="Calibri"/>
                <w:b/>
                <w:bCs/>
              </w:rPr>
            </w:pPr>
            <w:r>
              <w:rPr>
                <w:rFonts w:ascii="Calibri" w:hAnsi="Calibri"/>
                <w:b/>
                <w:bCs/>
              </w:rPr>
              <w:t>(2,303.1)</w:t>
            </w:r>
          </w:p>
        </w:tc>
        <w:tc>
          <w:tcPr>
            <w:tcW w:w="811" w:type="pct"/>
            <w:tcBorders>
              <w:top w:val="single" w:sz="4" w:space="0" w:color="auto"/>
              <w:left w:val="double" w:sz="6" w:space="0" w:color="auto"/>
              <w:bottom w:val="single" w:sz="4" w:space="0" w:color="auto"/>
              <w:right w:val="double" w:sz="6" w:space="0" w:color="auto"/>
            </w:tcBorders>
            <w:shd w:val="clear" w:color="000000" w:fill="FFFFFF"/>
            <w:noWrap/>
            <w:vAlign w:val="bottom"/>
            <w:hideMark/>
          </w:tcPr>
          <w:p w:rsidR="001B30DE" w:rsidRDefault="001B30DE">
            <w:pPr>
              <w:jc w:val="right"/>
              <w:rPr>
                <w:rFonts w:ascii="Calibri" w:hAnsi="Calibri"/>
                <w:b/>
                <w:bCs/>
              </w:rPr>
            </w:pPr>
            <w:r>
              <w:rPr>
                <w:rFonts w:ascii="Calibri" w:hAnsi="Calibri"/>
                <w:b/>
                <w:bCs/>
              </w:rPr>
              <w:t>(26,869.1)</w:t>
            </w:r>
          </w:p>
        </w:tc>
      </w:tr>
      <w:tr w:rsidR="003955E9" w:rsidRPr="003955E9" w:rsidTr="003955E9">
        <w:trPr>
          <w:trHeight w:val="300"/>
        </w:trPr>
        <w:tc>
          <w:tcPr>
            <w:tcW w:w="1622" w:type="pct"/>
            <w:tcBorders>
              <w:top w:val="nil"/>
              <w:left w:val="nil"/>
              <w:bottom w:val="nil"/>
              <w:right w:val="nil"/>
            </w:tcBorders>
            <w:shd w:val="clear" w:color="auto" w:fill="auto"/>
            <w:noWrap/>
            <w:vAlign w:val="bottom"/>
            <w:hideMark/>
          </w:tcPr>
          <w:p w:rsidR="003955E9" w:rsidRPr="003955E9" w:rsidRDefault="003955E9" w:rsidP="003955E9">
            <w:pPr>
              <w:jc w:val="left"/>
              <w:rPr>
                <w:rFonts w:ascii="Calibri" w:eastAsia="Times New Roman" w:hAnsi="Calibri" w:cs="Times New Roman"/>
                <w:b/>
                <w:bCs/>
                <w:color w:val="000000"/>
                <w:lang w:eastAsia="en-GB"/>
              </w:rPr>
            </w:pPr>
          </w:p>
        </w:tc>
        <w:tc>
          <w:tcPr>
            <w:tcW w:w="608" w:type="pct"/>
            <w:tcBorders>
              <w:top w:val="nil"/>
              <w:left w:val="nil"/>
              <w:bottom w:val="nil"/>
              <w:right w:val="nil"/>
            </w:tcBorders>
            <w:shd w:val="clear" w:color="000000" w:fill="FFFFFF"/>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608" w:type="pct"/>
            <w:tcBorders>
              <w:top w:val="nil"/>
              <w:left w:val="nil"/>
              <w:bottom w:val="nil"/>
              <w:right w:val="nil"/>
            </w:tcBorders>
            <w:shd w:val="clear" w:color="000000" w:fill="FFFFFF"/>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609" w:type="pct"/>
            <w:tcBorders>
              <w:top w:val="nil"/>
              <w:left w:val="nil"/>
              <w:bottom w:val="nil"/>
              <w:right w:val="nil"/>
            </w:tcBorders>
            <w:shd w:val="clear" w:color="000000" w:fill="FFFFFF"/>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742" w:type="pct"/>
            <w:tcBorders>
              <w:top w:val="nil"/>
              <w:left w:val="nil"/>
              <w:bottom w:val="nil"/>
              <w:right w:val="nil"/>
            </w:tcBorders>
            <w:shd w:val="clear" w:color="000000" w:fill="FFFFFF"/>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811" w:type="pct"/>
            <w:tcBorders>
              <w:top w:val="nil"/>
              <w:left w:val="nil"/>
              <w:bottom w:val="nil"/>
              <w:right w:val="nil"/>
            </w:tcBorders>
            <w:shd w:val="clear" w:color="000000" w:fill="FFFFFF"/>
            <w:noWrap/>
            <w:vAlign w:val="bottom"/>
            <w:hideMark/>
          </w:tcPr>
          <w:p w:rsidR="003955E9" w:rsidRPr="003955E9" w:rsidRDefault="003955E9"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r>
      <w:tr w:rsidR="001B30DE" w:rsidRPr="003955E9" w:rsidTr="001B30DE">
        <w:trPr>
          <w:trHeight w:val="315"/>
        </w:trPr>
        <w:tc>
          <w:tcPr>
            <w:tcW w:w="16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0DE" w:rsidRPr="003955E9" w:rsidRDefault="001B30DE" w:rsidP="003955E9">
            <w:pPr>
              <w:jc w:val="left"/>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Surplus/Deficit</w:t>
            </w:r>
          </w:p>
        </w:tc>
        <w:tc>
          <w:tcPr>
            <w:tcW w:w="608" w:type="pct"/>
            <w:tcBorders>
              <w:top w:val="single" w:sz="4" w:space="0" w:color="auto"/>
              <w:left w:val="single" w:sz="4" w:space="0" w:color="auto"/>
              <w:bottom w:val="single" w:sz="8" w:space="0" w:color="auto"/>
              <w:right w:val="single" w:sz="4" w:space="0" w:color="auto"/>
            </w:tcBorders>
            <w:shd w:val="clear" w:color="auto" w:fill="E5B8B7" w:themeFill="accent2" w:themeFillTint="66"/>
            <w:noWrap/>
            <w:vAlign w:val="bottom"/>
            <w:hideMark/>
          </w:tcPr>
          <w:p w:rsidR="001B30DE" w:rsidRPr="003955E9" w:rsidRDefault="001B30DE" w:rsidP="001B30DE">
            <w:pPr>
              <w:jc w:val="right"/>
              <w:rPr>
                <w:rFonts w:ascii="Calibri" w:eastAsia="Times New Roman" w:hAnsi="Calibri" w:cs="Times New Roman"/>
                <w:b/>
                <w:bCs/>
                <w:lang w:eastAsia="en-GB"/>
              </w:rPr>
            </w:pPr>
            <w:r w:rsidRPr="003955E9">
              <w:rPr>
                <w:rFonts w:ascii="Calibri" w:eastAsia="Times New Roman" w:hAnsi="Calibri" w:cs="Times New Roman"/>
                <w:b/>
                <w:bCs/>
                <w:color w:val="FF0000"/>
                <w:lang w:eastAsia="en-GB"/>
              </w:rPr>
              <w:t>(</w:t>
            </w:r>
            <w:r>
              <w:rPr>
                <w:rFonts w:ascii="Calibri" w:eastAsia="Times New Roman" w:hAnsi="Calibri" w:cs="Times New Roman"/>
                <w:b/>
                <w:bCs/>
                <w:color w:val="FF0000"/>
                <w:lang w:eastAsia="en-GB"/>
              </w:rPr>
              <w:t>1,544</w:t>
            </w:r>
            <w:r w:rsidRPr="003955E9">
              <w:rPr>
                <w:rFonts w:ascii="Calibri" w:eastAsia="Times New Roman" w:hAnsi="Calibri" w:cs="Times New Roman"/>
                <w:b/>
                <w:bCs/>
                <w:color w:val="FF0000"/>
                <w:lang w:eastAsia="en-GB"/>
              </w:rPr>
              <w:t>.</w:t>
            </w:r>
            <w:r>
              <w:rPr>
                <w:rFonts w:ascii="Calibri" w:eastAsia="Times New Roman" w:hAnsi="Calibri" w:cs="Times New Roman"/>
                <w:b/>
                <w:bCs/>
                <w:color w:val="FF0000"/>
                <w:lang w:eastAsia="en-GB"/>
              </w:rPr>
              <w:t>2</w:t>
            </w:r>
            <w:r w:rsidRPr="003955E9">
              <w:rPr>
                <w:rFonts w:ascii="Calibri" w:eastAsia="Times New Roman" w:hAnsi="Calibri" w:cs="Times New Roman"/>
                <w:b/>
                <w:bCs/>
                <w:color w:val="FF0000"/>
                <w:lang w:eastAsia="en-GB"/>
              </w:rPr>
              <w:t>)</w:t>
            </w:r>
          </w:p>
        </w:tc>
        <w:tc>
          <w:tcPr>
            <w:tcW w:w="608" w:type="pct"/>
            <w:tcBorders>
              <w:top w:val="single" w:sz="4" w:space="0" w:color="auto"/>
              <w:left w:val="nil"/>
              <w:bottom w:val="single" w:sz="8" w:space="0" w:color="auto"/>
              <w:right w:val="single" w:sz="4" w:space="0" w:color="auto"/>
            </w:tcBorders>
            <w:shd w:val="clear" w:color="000000" w:fill="92D050"/>
            <w:noWrap/>
            <w:vAlign w:val="bottom"/>
            <w:hideMark/>
          </w:tcPr>
          <w:p w:rsidR="001B30DE" w:rsidRPr="003955E9" w:rsidRDefault="001B30DE" w:rsidP="003955E9">
            <w:pPr>
              <w:jc w:val="right"/>
              <w:rPr>
                <w:rFonts w:ascii="Calibri" w:eastAsia="Times New Roman" w:hAnsi="Calibri" w:cs="Times New Roman"/>
                <w:b/>
                <w:bCs/>
                <w:lang w:eastAsia="en-GB"/>
              </w:rPr>
            </w:pPr>
            <w:r>
              <w:rPr>
                <w:rFonts w:ascii="Calibri" w:eastAsia="Times New Roman" w:hAnsi="Calibri" w:cs="Times New Roman"/>
                <w:b/>
                <w:bCs/>
                <w:lang w:eastAsia="en-GB"/>
              </w:rPr>
              <w:t>156.7</w:t>
            </w:r>
          </w:p>
        </w:tc>
        <w:tc>
          <w:tcPr>
            <w:tcW w:w="609" w:type="pct"/>
            <w:tcBorders>
              <w:top w:val="single" w:sz="4" w:space="0" w:color="auto"/>
              <w:left w:val="nil"/>
              <w:bottom w:val="single" w:sz="8" w:space="0" w:color="auto"/>
              <w:right w:val="single" w:sz="4" w:space="0" w:color="auto"/>
            </w:tcBorders>
            <w:shd w:val="clear" w:color="000000" w:fill="92D050"/>
            <w:noWrap/>
            <w:vAlign w:val="bottom"/>
            <w:hideMark/>
          </w:tcPr>
          <w:p w:rsidR="001B30DE" w:rsidRPr="003955E9" w:rsidRDefault="001B30DE" w:rsidP="003955E9">
            <w:pPr>
              <w:jc w:val="right"/>
              <w:rPr>
                <w:rFonts w:ascii="Calibri" w:eastAsia="Times New Roman" w:hAnsi="Calibri" w:cs="Times New Roman"/>
                <w:b/>
                <w:bCs/>
                <w:lang w:eastAsia="en-GB"/>
              </w:rPr>
            </w:pPr>
            <w:r>
              <w:rPr>
                <w:rFonts w:ascii="Calibri" w:eastAsia="Times New Roman" w:hAnsi="Calibri" w:cs="Times New Roman"/>
                <w:b/>
                <w:bCs/>
                <w:lang w:eastAsia="en-GB"/>
              </w:rPr>
              <w:t>35.6</w:t>
            </w:r>
          </w:p>
        </w:tc>
        <w:tc>
          <w:tcPr>
            <w:tcW w:w="742" w:type="pct"/>
            <w:tcBorders>
              <w:top w:val="single" w:sz="4" w:space="0" w:color="auto"/>
              <w:left w:val="nil"/>
              <w:bottom w:val="single" w:sz="8" w:space="0" w:color="auto"/>
              <w:right w:val="single" w:sz="4" w:space="0" w:color="auto"/>
            </w:tcBorders>
            <w:shd w:val="clear" w:color="000000" w:fill="E6B8B7"/>
            <w:noWrap/>
            <w:vAlign w:val="bottom"/>
            <w:hideMark/>
          </w:tcPr>
          <w:p w:rsidR="001B30DE" w:rsidRPr="003955E9" w:rsidRDefault="001B30DE" w:rsidP="001B30DE">
            <w:pPr>
              <w:jc w:val="right"/>
              <w:rPr>
                <w:rFonts w:ascii="Calibri" w:eastAsia="Times New Roman" w:hAnsi="Calibri" w:cs="Times New Roman"/>
                <w:b/>
                <w:bCs/>
                <w:lang w:eastAsia="en-GB"/>
              </w:rPr>
            </w:pPr>
            <w:r w:rsidRPr="003955E9">
              <w:rPr>
                <w:rFonts w:ascii="Calibri" w:eastAsia="Times New Roman" w:hAnsi="Calibri" w:cs="Times New Roman"/>
                <w:b/>
                <w:bCs/>
                <w:color w:val="FF0000"/>
                <w:lang w:eastAsia="en-GB"/>
              </w:rPr>
              <w:t>(</w:t>
            </w:r>
            <w:r>
              <w:rPr>
                <w:rFonts w:ascii="Calibri" w:eastAsia="Times New Roman" w:hAnsi="Calibri" w:cs="Times New Roman"/>
                <w:b/>
                <w:bCs/>
                <w:color w:val="FF0000"/>
                <w:lang w:eastAsia="en-GB"/>
              </w:rPr>
              <w:t>565.1</w:t>
            </w:r>
            <w:r w:rsidRPr="003955E9">
              <w:rPr>
                <w:rFonts w:ascii="Calibri" w:eastAsia="Times New Roman" w:hAnsi="Calibri" w:cs="Times New Roman"/>
                <w:b/>
                <w:bCs/>
                <w:color w:val="FF0000"/>
                <w:lang w:eastAsia="en-GB"/>
              </w:rPr>
              <w:t>)</w:t>
            </w:r>
          </w:p>
        </w:tc>
        <w:tc>
          <w:tcPr>
            <w:tcW w:w="811" w:type="pct"/>
            <w:tcBorders>
              <w:top w:val="single" w:sz="4" w:space="0" w:color="auto"/>
              <w:left w:val="double" w:sz="6" w:space="0" w:color="auto"/>
              <w:bottom w:val="single" w:sz="8" w:space="0" w:color="auto"/>
              <w:right w:val="double" w:sz="6" w:space="0" w:color="auto"/>
            </w:tcBorders>
            <w:shd w:val="clear" w:color="auto" w:fill="E5B8B7" w:themeFill="accent2" w:themeFillTint="66"/>
            <w:noWrap/>
            <w:vAlign w:val="bottom"/>
            <w:hideMark/>
          </w:tcPr>
          <w:p w:rsidR="001B30DE" w:rsidRPr="003955E9" w:rsidRDefault="001B30DE" w:rsidP="001B30DE">
            <w:pPr>
              <w:jc w:val="right"/>
              <w:rPr>
                <w:rFonts w:ascii="Calibri" w:eastAsia="Times New Roman" w:hAnsi="Calibri" w:cs="Times New Roman"/>
                <w:b/>
                <w:bCs/>
                <w:lang w:eastAsia="en-GB"/>
              </w:rPr>
            </w:pPr>
            <w:r w:rsidRPr="003955E9">
              <w:rPr>
                <w:rFonts w:ascii="Calibri" w:eastAsia="Times New Roman" w:hAnsi="Calibri" w:cs="Times New Roman"/>
                <w:b/>
                <w:bCs/>
                <w:color w:val="FF0000"/>
                <w:lang w:eastAsia="en-GB"/>
              </w:rPr>
              <w:t>(</w:t>
            </w:r>
            <w:r>
              <w:rPr>
                <w:rFonts w:ascii="Calibri" w:eastAsia="Times New Roman" w:hAnsi="Calibri" w:cs="Times New Roman"/>
                <w:b/>
                <w:bCs/>
                <w:color w:val="FF0000"/>
                <w:lang w:eastAsia="en-GB"/>
              </w:rPr>
              <w:t>1,917.0</w:t>
            </w:r>
            <w:r w:rsidRPr="003955E9">
              <w:rPr>
                <w:rFonts w:ascii="Calibri" w:eastAsia="Times New Roman" w:hAnsi="Calibri" w:cs="Times New Roman"/>
                <w:b/>
                <w:bCs/>
                <w:color w:val="FF0000"/>
                <w:lang w:eastAsia="en-GB"/>
              </w:rPr>
              <w:t>)</w:t>
            </w:r>
          </w:p>
        </w:tc>
      </w:tr>
      <w:tr w:rsidR="001B30DE" w:rsidRPr="003955E9" w:rsidTr="003955E9">
        <w:trPr>
          <w:trHeight w:val="315"/>
        </w:trPr>
        <w:tc>
          <w:tcPr>
            <w:tcW w:w="1622" w:type="pct"/>
            <w:tcBorders>
              <w:top w:val="nil"/>
              <w:left w:val="nil"/>
              <w:bottom w:val="nil"/>
              <w:right w:val="nil"/>
            </w:tcBorders>
            <w:shd w:val="clear" w:color="auto" w:fill="auto"/>
            <w:noWrap/>
            <w:vAlign w:val="bottom"/>
            <w:hideMark/>
          </w:tcPr>
          <w:p w:rsidR="001B30DE" w:rsidRPr="003955E9" w:rsidRDefault="001B30DE" w:rsidP="003955E9">
            <w:pPr>
              <w:jc w:val="left"/>
              <w:rPr>
                <w:rFonts w:ascii="Calibri" w:eastAsia="Times New Roman" w:hAnsi="Calibri" w:cs="Times New Roman"/>
                <w:b/>
                <w:bCs/>
                <w:color w:val="000000"/>
                <w:lang w:eastAsia="en-GB"/>
              </w:rPr>
            </w:pPr>
          </w:p>
        </w:tc>
        <w:tc>
          <w:tcPr>
            <w:tcW w:w="608" w:type="pct"/>
            <w:tcBorders>
              <w:top w:val="nil"/>
              <w:left w:val="nil"/>
              <w:bottom w:val="nil"/>
              <w:right w:val="nil"/>
            </w:tcBorders>
            <w:shd w:val="clear" w:color="000000" w:fill="FFFFFF"/>
            <w:noWrap/>
            <w:vAlign w:val="bottom"/>
            <w:hideMark/>
          </w:tcPr>
          <w:p w:rsidR="001B30DE" w:rsidRPr="003955E9" w:rsidRDefault="001B30DE"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608" w:type="pct"/>
            <w:tcBorders>
              <w:top w:val="nil"/>
              <w:left w:val="nil"/>
              <w:bottom w:val="nil"/>
              <w:right w:val="nil"/>
            </w:tcBorders>
            <w:shd w:val="clear" w:color="000000" w:fill="FFFFFF"/>
            <w:noWrap/>
            <w:vAlign w:val="bottom"/>
            <w:hideMark/>
          </w:tcPr>
          <w:p w:rsidR="001B30DE" w:rsidRPr="003955E9" w:rsidRDefault="001B30DE"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609" w:type="pct"/>
            <w:tcBorders>
              <w:top w:val="nil"/>
              <w:left w:val="nil"/>
              <w:bottom w:val="nil"/>
              <w:right w:val="nil"/>
            </w:tcBorders>
            <w:shd w:val="clear" w:color="000000" w:fill="FFFFFF"/>
            <w:noWrap/>
            <w:vAlign w:val="bottom"/>
            <w:hideMark/>
          </w:tcPr>
          <w:p w:rsidR="001B30DE" w:rsidRPr="003955E9" w:rsidRDefault="001B30DE"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742" w:type="pct"/>
            <w:tcBorders>
              <w:top w:val="nil"/>
              <w:left w:val="nil"/>
              <w:bottom w:val="nil"/>
              <w:right w:val="nil"/>
            </w:tcBorders>
            <w:shd w:val="clear" w:color="000000" w:fill="FFFFFF"/>
            <w:noWrap/>
            <w:vAlign w:val="bottom"/>
            <w:hideMark/>
          </w:tcPr>
          <w:p w:rsidR="001B30DE" w:rsidRPr="003955E9" w:rsidRDefault="001B30DE"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c>
          <w:tcPr>
            <w:tcW w:w="811" w:type="pct"/>
            <w:tcBorders>
              <w:top w:val="nil"/>
              <w:left w:val="nil"/>
              <w:bottom w:val="nil"/>
              <w:right w:val="nil"/>
            </w:tcBorders>
            <w:shd w:val="clear" w:color="000000" w:fill="FFFFFF"/>
            <w:noWrap/>
            <w:vAlign w:val="bottom"/>
            <w:hideMark/>
          </w:tcPr>
          <w:p w:rsidR="001B30DE" w:rsidRPr="003955E9" w:rsidRDefault="001B30DE" w:rsidP="003955E9">
            <w:pPr>
              <w:jc w:val="left"/>
              <w:rPr>
                <w:rFonts w:ascii="Calibri" w:eastAsia="Times New Roman" w:hAnsi="Calibri" w:cs="Times New Roman"/>
                <w:b/>
                <w:bCs/>
                <w:lang w:eastAsia="en-GB"/>
              </w:rPr>
            </w:pPr>
            <w:r w:rsidRPr="003955E9">
              <w:rPr>
                <w:rFonts w:ascii="Calibri" w:eastAsia="Times New Roman" w:hAnsi="Calibri" w:cs="Times New Roman"/>
                <w:b/>
                <w:bCs/>
                <w:lang w:eastAsia="en-GB"/>
              </w:rPr>
              <w:t> </w:t>
            </w:r>
          </w:p>
        </w:tc>
      </w:tr>
      <w:tr w:rsidR="001B30DE" w:rsidRPr="003955E9" w:rsidTr="00992F4F">
        <w:trPr>
          <w:trHeight w:val="315"/>
        </w:trPr>
        <w:tc>
          <w:tcPr>
            <w:tcW w:w="16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0DE" w:rsidRPr="003955E9" w:rsidRDefault="001B30DE" w:rsidP="003955E9">
            <w:pPr>
              <w:jc w:val="left"/>
              <w:rPr>
                <w:rFonts w:ascii="Calibri" w:eastAsia="Times New Roman" w:hAnsi="Calibri" w:cs="Times New Roman"/>
                <w:b/>
                <w:bCs/>
                <w:color w:val="000000"/>
                <w:lang w:eastAsia="en-GB"/>
              </w:rPr>
            </w:pPr>
            <w:r w:rsidRPr="003955E9">
              <w:rPr>
                <w:rFonts w:ascii="Calibri" w:eastAsia="Times New Roman" w:hAnsi="Calibri" w:cs="Times New Roman"/>
                <w:b/>
                <w:bCs/>
                <w:color w:val="000000"/>
                <w:lang w:eastAsia="en-GB"/>
              </w:rPr>
              <w:t>Recurrent Surplus/Deficit</w:t>
            </w:r>
          </w:p>
        </w:tc>
        <w:tc>
          <w:tcPr>
            <w:tcW w:w="608" w:type="pct"/>
            <w:tcBorders>
              <w:top w:val="single" w:sz="8" w:space="0" w:color="auto"/>
              <w:left w:val="nil"/>
              <w:bottom w:val="single" w:sz="8" w:space="0" w:color="auto"/>
              <w:right w:val="single" w:sz="4" w:space="0" w:color="auto"/>
            </w:tcBorders>
            <w:shd w:val="clear" w:color="auto" w:fill="E5B8B7" w:themeFill="accent2" w:themeFillTint="66"/>
            <w:noWrap/>
            <w:vAlign w:val="bottom"/>
            <w:hideMark/>
          </w:tcPr>
          <w:p w:rsidR="001B30DE" w:rsidRDefault="001B30DE">
            <w:pPr>
              <w:jc w:val="right"/>
              <w:rPr>
                <w:rFonts w:ascii="Calibri" w:hAnsi="Calibri"/>
                <w:b/>
                <w:bCs/>
              </w:rPr>
            </w:pPr>
            <w:r>
              <w:rPr>
                <w:rFonts w:ascii="Calibri" w:hAnsi="Calibri"/>
                <w:b/>
                <w:bCs/>
                <w:color w:val="FF0000"/>
              </w:rPr>
              <w:t>(1,544.2)</w:t>
            </w:r>
          </w:p>
        </w:tc>
        <w:tc>
          <w:tcPr>
            <w:tcW w:w="608" w:type="pct"/>
            <w:tcBorders>
              <w:top w:val="single" w:sz="8" w:space="0" w:color="auto"/>
              <w:left w:val="nil"/>
              <w:bottom w:val="single" w:sz="8" w:space="0" w:color="auto"/>
              <w:right w:val="single" w:sz="4" w:space="0" w:color="auto"/>
            </w:tcBorders>
            <w:shd w:val="clear" w:color="000000" w:fill="92D050"/>
            <w:noWrap/>
            <w:vAlign w:val="bottom"/>
            <w:hideMark/>
          </w:tcPr>
          <w:p w:rsidR="001B30DE" w:rsidRDefault="001B30DE">
            <w:pPr>
              <w:jc w:val="right"/>
              <w:rPr>
                <w:rFonts w:ascii="Calibri" w:hAnsi="Calibri"/>
                <w:b/>
                <w:bCs/>
              </w:rPr>
            </w:pPr>
            <w:r>
              <w:rPr>
                <w:rFonts w:ascii="Calibri" w:hAnsi="Calibri"/>
                <w:b/>
                <w:bCs/>
              </w:rPr>
              <w:t>287.5</w:t>
            </w:r>
          </w:p>
        </w:tc>
        <w:tc>
          <w:tcPr>
            <w:tcW w:w="609" w:type="pct"/>
            <w:tcBorders>
              <w:top w:val="single" w:sz="8" w:space="0" w:color="auto"/>
              <w:left w:val="nil"/>
              <w:bottom w:val="single" w:sz="8" w:space="0" w:color="auto"/>
              <w:right w:val="single" w:sz="4" w:space="0" w:color="auto"/>
            </w:tcBorders>
            <w:shd w:val="clear" w:color="000000" w:fill="92D050"/>
            <w:noWrap/>
            <w:vAlign w:val="bottom"/>
            <w:hideMark/>
          </w:tcPr>
          <w:p w:rsidR="001B30DE" w:rsidRDefault="001B30DE">
            <w:pPr>
              <w:jc w:val="right"/>
              <w:rPr>
                <w:rFonts w:ascii="Calibri" w:hAnsi="Calibri"/>
                <w:b/>
                <w:bCs/>
              </w:rPr>
            </w:pPr>
            <w:r>
              <w:rPr>
                <w:rFonts w:ascii="Calibri" w:hAnsi="Calibri"/>
                <w:b/>
                <w:bCs/>
                <w:color w:val="FF0000"/>
              </w:rPr>
              <w:t>(207.9)</w:t>
            </w:r>
          </w:p>
        </w:tc>
        <w:tc>
          <w:tcPr>
            <w:tcW w:w="742" w:type="pct"/>
            <w:tcBorders>
              <w:top w:val="single" w:sz="8" w:space="0" w:color="auto"/>
              <w:left w:val="nil"/>
              <w:bottom w:val="single" w:sz="8" w:space="0" w:color="auto"/>
              <w:right w:val="single" w:sz="4" w:space="0" w:color="auto"/>
            </w:tcBorders>
            <w:shd w:val="clear" w:color="000000" w:fill="92D050"/>
            <w:noWrap/>
            <w:vAlign w:val="bottom"/>
            <w:hideMark/>
          </w:tcPr>
          <w:p w:rsidR="001B30DE" w:rsidRDefault="001B30DE">
            <w:pPr>
              <w:jc w:val="right"/>
              <w:rPr>
                <w:rFonts w:ascii="Calibri" w:hAnsi="Calibri"/>
                <w:b/>
                <w:bCs/>
              </w:rPr>
            </w:pPr>
            <w:r>
              <w:rPr>
                <w:rFonts w:ascii="Calibri" w:hAnsi="Calibri"/>
                <w:b/>
                <w:bCs/>
              </w:rPr>
              <w:t>426.1</w:t>
            </w:r>
          </w:p>
        </w:tc>
        <w:tc>
          <w:tcPr>
            <w:tcW w:w="811" w:type="pct"/>
            <w:tcBorders>
              <w:top w:val="single" w:sz="8" w:space="0" w:color="auto"/>
              <w:left w:val="double" w:sz="6" w:space="0" w:color="auto"/>
              <w:bottom w:val="single" w:sz="8" w:space="0" w:color="auto"/>
              <w:right w:val="double" w:sz="6" w:space="0" w:color="auto"/>
            </w:tcBorders>
            <w:shd w:val="clear" w:color="auto" w:fill="E5B8B7" w:themeFill="accent2" w:themeFillTint="66"/>
            <w:noWrap/>
            <w:vAlign w:val="bottom"/>
            <w:hideMark/>
          </w:tcPr>
          <w:p w:rsidR="001B30DE" w:rsidRDefault="001B30DE">
            <w:pPr>
              <w:jc w:val="right"/>
              <w:rPr>
                <w:rFonts w:ascii="Calibri" w:hAnsi="Calibri"/>
                <w:b/>
                <w:bCs/>
              </w:rPr>
            </w:pPr>
            <w:r w:rsidRPr="00992F4F">
              <w:rPr>
                <w:rFonts w:ascii="Calibri" w:hAnsi="Calibri"/>
                <w:b/>
                <w:bCs/>
                <w:color w:val="FF0000"/>
              </w:rPr>
              <w:t>(1,038.5)</w:t>
            </w:r>
          </w:p>
        </w:tc>
      </w:tr>
      <w:tr w:rsidR="00992F4F" w:rsidRPr="003955E9" w:rsidTr="00992F4F">
        <w:trPr>
          <w:trHeight w:val="315"/>
        </w:trPr>
        <w:tc>
          <w:tcPr>
            <w:tcW w:w="1622" w:type="pct"/>
            <w:tcBorders>
              <w:top w:val="single" w:sz="4" w:space="0" w:color="auto"/>
              <w:bottom w:val="single" w:sz="4" w:space="0" w:color="auto"/>
            </w:tcBorders>
            <w:shd w:val="clear" w:color="auto" w:fill="FFFFFF" w:themeFill="background1"/>
            <w:noWrap/>
            <w:vAlign w:val="bottom"/>
          </w:tcPr>
          <w:p w:rsidR="00992F4F" w:rsidRPr="003955E9" w:rsidRDefault="00992F4F" w:rsidP="003955E9">
            <w:pPr>
              <w:jc w:val="left"/>
              <w:rPr>
                <w:rFonts w:ascii="Calibri" w:eastAsia="Times New Roman" w:hAnsi="Calibri" w:cs="Times New Roman"/>
                <w:b/>
                <w:bCs/>
                <w:color w:val="000000"/>
                <w:lang w:eastAsia="en-GB"/>
              </w:rPr>
            </w:pPr>
          </w:p>
        </w:tc>
        <w:tc>
          <w:tcPr>
            <w:tcW w:w="608" w:type="pct"/>
            <w:tcBorders>
              <w:top w:val="single" w:sz="8" w:space="0" w:color="auto"/>
              <w:bottom w:val="single" w:sz="4" w:space="0" w:color="auto"/>
            </w:tcBorders>
            <w:shd w:val="clear" w:color="auto" w:fill="FFFFFF" w:themeFill="background1"/>
            <w:noWrap/>
            <w:vAlign w:val="bottom"/>
          </w:tcPr>
          <w:p w:rsidR="00992F4F" w:rsidRDefault="00992F4F">
            <w:pPr>
              <w:jc w:val="right"/>
              <w:rPr>
                <w:rFonts w:ascii="Calibri" w:hAnsi="Calibri"/>
                <w:b/>
                <w:bCs/>
                <w:color w:val="FF0000"/>
              </w:rPr>
            </w:pPr>
          </w:p>
        </w:tc>
        <w:tc>
          <w:tcPr>
            <w:tcW w:w="608" w:type="pct"/>
            <w:tcBorders>
              <w:top w:val="single" w:sz="8" w:space="0" w:color="auto"/>
              <w:bottom w:val="single" w:sz="4" w:space="0" w:color="auto"/>
            </w:tcBorders>
            <w:shd w:val="clear" w:color="auto" w:fill="FFFFFF" w:themeFill="background1"/>
            <w:noWrap/>
            <w:vAlign w:val="bottom"/>
          </w:tcPr>
          <w:p w:rsidR="00992F4F" w:rsidRDefault="00992F4F">
            <w:pPr>
              <w:jc w:val="right"/>
              <w:rPr>
                <w:rFonts w:ascii="Calibri" w:hAnsi="Calibri"/>
                <w:b/>
                <w:bCs/>
              </w:rPr>
            </w:pPr>
          </w:p>
        </w:tc>
        <w:tc>
          <w:tcPr>
            <w:tcW w:w="609" w:type="pct"/>
            <w:tcBorders>
              <w:top w:val="single" w:sz="8" w:space="0" w:color="auto"/>
              <w:bottom w:val="single" w:sz="4" w:space="0" w:color="auto"/>
            </w:tcBorders>
            <w:shd w:val="clear" w:color="auto" w:fill="FFFFFF" w:themeFill="background1"/>
            <w:noWrap/>
            <w:vAlign w:val="bottom"/>
          </w:tcPr>
          <w:p w:rsidR="00992F4F" w:rsidRDefault="00992F4F">
            <w:pPr>
              <w:jc w:val="right"/>
              <w:rPr>
                <w:rFonts w:ascii="Calibri" w:hAnsi="Calibri"/>
                <w:b/>
                <w:bCs/>
                <w:color w:val="FF0000"/>
              </w:rPr>
            </w:pPr>
          </w:p>
        </w:tc>
        <w:tc>
          <w:tcPr>
            <w:tcW w:w="742" w:type="pct"/>
            <w:tcBorders>
              <w:top w:val="single" w:sz="8" w:space="0" w:color="auto"/>
              <w:bottom w:val="single" w:sz="4" w:space="0" w:color="auto"/>
            </w:tcBorders>
            <w:shd w:val="clear" w:color="auto" w:fill="FFFFFF" w:themeFill="background1"/>
            <w:noWrap/>
            <w:vAlign w:val="bottom"/>
          </w:tcPr>
          <w:p w:rsidR="00992F4F" w:rsidRDefault="00992F4F">
            <w:pPr>
              <w:jc w:val="right"/>
              <w:rPr>
                <w:rFonts w:ascii="Calibri" w:hAnsi="Calibri"/>
                <w:b/>
                <w:bCs/>
              </w:rPr>
            </w:pPr>
          </w:p>
        </w:tc>
        <w:tc>
          <w:tcPr>
            <w:tcW w:w="811" w:type="pct"/>
            <w:tcBorders>
              <w:top w:val="single" w:sz="8" w:space="0" w:color="auto"/>
              <w:bottom w:val="single" w:sz="4" w:space="0" w:color="auto"/>
            </w:tcBorders>
            <w:shd w:val="clear" w:color="auto" w:fill="FFFFFF" w:themeFill="background1"/>
            <w:noWrap/>
            <w:vAlign w:val="bottom"/>
          </w:tcPr>
          <w:p w:rsidR="00992F4F" w:rsidRPr="00992F4F" w:rsidRDefault="00992F4F">
            <w:pPr>
              <w:jc w:val="right"/>
              <w:rPr>
                <w:rFonts w:ascii="Calibri" w:hAnsi="Calibri"/>
                <w:b/>
                <w:bCs/>
                <w:color w:val="FF0000"/>
              </w:rPr>
            </w:pPr>
          </w:p>
        </w:tc>
      </w:tr>
      <w:tr w:rsidR="00992F4F" w:rsidRPr="003955E9" w:rsidTr="00992F4F">
        <w:trPr>
          <w:trHeight w:val="315"/>
        </w:trPr>
        <w:tc>
          <w:tcPr>
            <w:tcW w:w="16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92F4F" w:rsidRPr="003955E9" w:rsidRDefault="00992F4F" w:rsidP="00992F4F">
            <w:pPr>
              <w:jc w:val="lef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Further Requests (PYE)</w:t>
            </w:r>
          </w:p>
        </w:tc>
        <w:tc>
          <w:tcPr>
            <w:tcW w:w="608" w:type="pct"/>
            <w:tcBorders>
              <w:top w:val="single" w:sz="4" w:space="0" w:color="auto"/>
              <w:left w:val="nil"/>
              <w:bottom w:val="single" w:sz="8" w:space="0" w:color="auto"/>
              <w:right w:val="single" w:sz="4" w:space="0" w:color="auto"/>
            </w:tcBorders>
            <w:shd w:val="clear" w:color="auto" w:fill="FFFFFF" w:themeFill="background1"/>
            <w:noWrap/>
            <w:vAlign w:val="bottom"/>
          </w:tcPr>
          <w:p w:rsidR="00992F4F" w:rsidRPr="002A576C" w:rsidRDefault="00992F4F">
            <w:pPr>
              <w:jc w:val="right"/>
              <w:rPr>
                <w:rFonts w:ascii="Calibri" w:hAnsi="Calibri"/>
                <w:b/>
                <w:bCs/>
              </w:rPr>
            </w:pPr>
            <w:r w:rsidRPr="002A576C">
              <w:rPr>
                <w:rFonts w:ascii="Calibri" w:hAnsi="Calibri"/>
                <w:b/>
                <w:bCs/>
              </w:rPr>
              <w:t>0.00</w:t>
            </w:r>
          </w:p>
        </w:tc>
        <w:tc>
          <w:tcPr>
            <w:tcW w:w="608" w:type="pct"/>
            <w:tcBorders>
              <w:top w:val="single" w:sz="4" w:space="0" w:color="auto"/>
              <w:left w:val="nil"/>
              <w:bottom w:val="single" w:sz="8" w:space="0" w:color="auto"/>
              <w:right w:val="single" w:sz="4" w:space="0" w:color="auto"/>
            </w:tcBorders>
            <w:shd w:val="clear" w:color="auto" w:fill="FFFFFF" w:themeFill="background1"/>
            <w:noWrap/>
            <w:vAlign w:val="bottom"/>
          </w:tcPr>
          <w:p w:rsidR="00992F4F" w:rsidRPr="002A576C" w:rsidRDefault="00992F4F">
            <w:pPr>
              <w:jc w:val="right"/>
              <w:rPr>
                <w:rFonts w:ascii="Calibri" w:hAnsi="Calibri"/>
                <w:b/>
                <w:bCs/>
              </w:rPr>
            </w:pPr>
            <w:r w:rsidRPr="002A576C">
              <w:rPr>
                <w:rFonts w:ascii="Calibri" w:hAnsi="Calibri"/>
                <w:b/>
                <w:bCs/>
              </w:rPr>
              <w:t>0.00</w:t>
            </w:r>
          </w:p>
        </w:tc>
        <w:tc>
          <w:tcPr>
            <w:tcW w:w="609" w:type="pct"/>
            <w:tcBorders>
              <w:top w:val="single" w:sz="4" w:space="0" w:color="auto"/>
              <w:left w:val="nil"/>
              <w:bottom w:val="single" w:sz="8" w:space="0" w:color="auto"/>
              <w:right w:val="single" w:sz="4" w:space="0" w:color="auto"/>
            </w:tcBorders>
            <w:shd w:val="clear" w:color="auto" w:fill="FFFFFF" w:themeFill="background1"/>
            <w:noWrap/>
            <w:vAlign w:val="bottom"/>
          </w:tcPr>
          <w:p w:rsidR="00992F4F" w:rsidRPr="00992F4F" w:rsidRDefault="00992F4F">
            <w:pPr>
              <w:jc w:val="right"/>
              <w:rPr>
                <w:rFonts w:ascii="Calibri" w:hAnsi="Calibri"/>
                <w:b/>
                <w:bCs/>
                <w:color w:val="FF0000"/>
              </w:rPr>
            </w:pPr>
            <w:r>
              <w:rPr>
                <w:rFonts w:ascii="Calibri" w:hAnsi="Calibri"/>
                <w:b/>
                <w:bCs/>
                <w:color w:val="FF0000"/>
              </w:rPr>
              <w:t>(</w:t>
            </w:r>
            <w:r w:rsidRPr="00992F4F">
              <w:rPr>
                <w:rFonts w:ascii="Calibri" w:hAnsi="Calibri"/>
                <w:b/>
                <w:bCs/>
                <w:color w:val="FF0000"/>
              </w:rPr>
              <w:t>403.0</w:t>
            </w:r>
            <w:r>
              <w:rPr>
                <w:rFonts w:ascii="Calibri" w:hAnsi="Calibri"/>
                <w:b/>
                <w:bCs/>
                <w:color w:val="FF0000"/>
              </w:rPr>
              <w:t>)</w:t>
            </w:r>
          </w:p>
        </w:tc>
        <w:tc>
          <w:tcPr>
            <w:tcW w:w="742" w:type="pct"/>
            <w:tcBorders>
              <w:top w:val="single" w:sz="4" w:space="0" w:color="auto"/>
              <w:left w:val="nil"/>
              <w:bottom w:val="single" w:sz="8" w:space="0" w:color="auto"/>
              <w:right w:val="single" w:sz="4" w:space="0" w:color="auto"/>
            </w:tcBorders>
            <w:shd w:val="clear" w:color="auto" w:fill="FFFFFF" w:themeFill="background1"/>
            <w:noWrap/>
            <w:vAlign w:val="bottom"/>
          </w:tcPr>
          <w:p w:rsidR="00992F4F" w:rsidRPr="00992F4F" w:rsidRDefault="00992F4F">
            <w:pPr>
              <w:jc w:val="right"/>
              <w:rPr>
                <w:rFonts w:ascii="Calibri" w:hAnsi="Calibri"/>
                <w:b/>
                <w:bCs/>
                <w:color w:val="FF0000"/>
              </w:rPr>
            </w:pPr>
            <w:r>
              <w:rPr>
                <w:rFonts w:ascii="Calibri" w:hAnsi="Calibri"/>
                <w:b/>
                <w:bCs/>
                <w:color w:val="FF0000"/>
              </w:rPr>
              <w:t>(</w:t>
            </w:r>
            <w:r w:rsidRPr="00992F4F">
              <w:rPr>
                <w:rFonts w:ascii="Calibri" w:hAnsi="Calibri"/>
                <w:b/>
                <w:bCs/>
                <w:color w:val="FF0000"/>
              </w:rPr>
              <w:t>282.4</w:t>
            </w:r>
            <w:r>
              <w:rPr>
                <w:rFonts w:ascii="Calibri" w:hAnsi="Calibri"/>
                <w:b/>
                <w:bCs/>
                <w:color w:val="FF0000"/>
              </w:rPr>
              <w:t>)</w:t>
            </w:r>
          </w:p>
        </w:tc>
        <w:tc>
          <w:tcPr>
            <w:tcW w:w="811" w:type="pct"/>
            <w:tcBorders>
              <w:top w:val="single" w:sz="4" w:space="0" w:color="auto"/>
              <w:left w:val="double" w:sz="6" w:space="0" w:color="auto"/>
              <w:bottom w:val="single" w:sz="8" w:space="0" w:color="auto"/>
              <w:right w:val="double" w:sz="6" w:space="0" w:color="auto"/>
            </w:tcBorders>
            <w:shd w:val="clear" w:color="auto" w:fill="FFFFFF" w:themeFill="background1"/>
            <w:noWrap/>
            <w:vAlign w:val="bottom"/>
          </w:tcPr>
          <w:p w:rsidR="00992F4F" w:rsidRPr="00992F4F" w:rsidRDefault="00992F4F">
            <w:pPr>
              <w:jc w:val="right"/>
              <w:rPr>
                <w:rFonts w:ascii="Calibri" w:hAnsi="Calibri"/>
                <w:b/>
                <w:bCs/>
                <w:color w:val="FF0000"/>
              </w:rPr>
            </w:pPr>
            <w:r>
              <w:rPr>
                <w:rFonts w:ascii="Calibri" w:hAnsi="Calibri"/>
                <w:b/>
                <w:bCs/>
                <w:color w:val="FF0000"/>
              </w:rPr>
              <w:t>(</w:t>
            </w:r>
            <w:r w:rsidRPr="00992F4F">
              <w:rPr>
                <w:rFonts w:ascii="Calibri" w:hAnsi="Calibri"/>
                <w:b/>
                <w:bCs/>
                <w:color w:val="FF0000"/>
              </w:rPr>
              <w:t>685.4</w:t>
            </w:r>
            <w:r>
              <w:rPr>
                <w:rFonts w:ascii="Calibri" w:hAnsi="Calibri"/>
                <w:b/>
                <w:bCs/>
                <w:color w:val="FF0000"/>
              </w:rPr>
              <w:t>)</w:t>
            </w:r>
          </w:p>
        </w:tc>
      </w:tr>
    </w:tbl>
    <w:p w:rsidR="003955E9" w:rsidRDefault="003955E9" w:rsidP="00D567A1">
      <w:pPr>
        <w:rPr>
          <w:color w:val="FF0000"/>
        </w:rPr>
      </w:pPr>
    </w:p>
    <w:p w:rsidR="009F1D9A" w:rsidRPr="002A576C" w:rsidRDefault="00F03213" w:rsidP="00E06DD3">
      <w:pPr>
        <w:rPr>
          <w:sz w:val="24"/>
          <w:szCs w:val="24"/>
        </w:rPr>
      </w:pPr>
      <w:r w:rsidRPr="002A576C">
        <w:rPr>
          <w:sz w:val="24"/>
          <w:szCs w:val="24"/>
        </w:rPr>
        <w:t xml:space="preserve">The overall reserve position </w:t>
      </w:r>
      <w:r w:rsidR="00BE28A9" w:rsidRPr="002A576C">
        <w:rPr>
          <w:sz w:val="24"/>
          <w:szCs w:val="24"/>
        </w:rPr>
        <w:t xml:space="preserve">is currently overcommitted in year – with non recurrent </w:t>
      </w:r>
      <w:r w:rsidR="00B54622" w:rsidRPr="002A576C">
        <w:rPr>
          <w:sz w:val="24"/>
          <w:szCs w:val="24"/>
        </w:rPr>
        <w:t xml:space="preserve">suggested expenditure proposals exceeding </w:t>
      </w:r>
      <w:r w:rsidR="002A576C" w:rsidRPr="002A576C">
        <w:rPr>
          <w:sz w:val="24"/>
          <w:szCs w:val="24"/>
        </w:rPr>
        <w:t>the Non</w:t>
      </w:r>
      <w:r w:rsidR="00B54622" w:rsidRPr="002A576C">
        <w:rPr>
          <w:sz w:val="24"/>
          <w:szCs w:val="24"/>
        </w:rPr>
        <w:t xml:space="preserve"> Clinica</w:t>
      </w:r>
      <w:r w:rsidR="002A576C" w:rsidRPr="002A576C">
        <w:rPr>
          <w:sz w:val="24"/>
          <w:szCs w:val="24"/>
        </w:rPr>
        <w:t xml:space="preserve">l Investment reserve by </w:t>
      </w:r>
      <w:r w:rsidR="00B54622" w:rsidRPr="002A576C">
        <w:rPr>
          <w:sz w:val="24"/>
          <w:szCs w:val="24"/>
        </w:rPr>
        <w:t>£0.</w:t>
      </w:r>
      <w:r w:rsidR="002A576C" w:rsidRPr="002A576C">
        <w:rPr>
          <w:sz w:val="24"/>
          <w:szCs w:val="24"/>
        </w:rPr>
        <w:t>57</w:t>
      </w:r>
      <w:r w:rsidR="00B54622" w:rsidRPr="002A576C">
        <w:rPr>
          <w:sz w:val="24"/>
          <w:szCs w:val="24"/>
        </w:rPr>
        <w:t>m. This will need to be addressed through tight prioritisation of commit</w:t>
      </w:r>
      <w:r w:rsidR="002A576C" w:rsidRPr="002A576C">
        <w:rPr>
          <w:sz w:val="24"/>
          <w:szCs w:val="24"/>
        </w:rPr>
        <w:t>ments by Trust Management Board.</w:t>
      </w:r>
    </w:p>
    <w:p w:rsidR="002A576C" w:rsidRPr="00CA26A7" w:rsidRDefault="002A576C" w:rsidP="00E06DD3">
      <w:pPr>
        <w:rPr>
          <w:color w:val="FF0000"/>
          <w:sz w:val="24"/>
          <w:szCs w:val="24"/>
        </w:rPr>
      </w:pPr>
    </w:p>
    <w:p w:rsidR="00F03213" w:rsidRPr="002A576C" w:rsidRDefault="00B54622" w:rsidP="00E06DD3">
      <w:pPr>
        <w:rPr>
          <w:sz w:val="24"/>
          <w:szCs w:val="24"/>
        </w:rPr>
      </w:pPr>
      <w:r w:rsidRPr="002A576C">
        <w:rPr>
          <w:sz w:val="24"/>
          <w:szCs w:val="24"/>
        </w:rPr>
        <w:t xml:space="preserve">Some offset is currently available </w:t>
      </w:r>
      <w:r w:rsidR="009D3090" w:rsidRPr="002A576C">
        <w:rPr>
          <w:sz w:val="24"/>
          <w:szCs w:val="24"/>
        </w:rPr>
        <w:t>from</w:t>
      </w:r>
      <w:r w:rsidRPr="002A576C">
        <w:rPr>
          <w:sz w:val="24"/>
          <w:szCs w:val="24"/>
        </w:rPr>
        <w:t xml:space="preserve"> the clinical investment reserve, but at this stage of the year there remains a significant risk that additional commitments will emerge.</w:t>
      </w:r>
    </w:p>
    <w:p w:rsidR="00B54622" w:rsidRPr="002A576C" w:rsidRDefault="00B54622" w:rsidP="00E06DD3">
      <w:pPr>
        <w:rPr>
          <w:sz w:val="24"/>
          <w:szCs w:val="24"/>
        </w:rPr>
      </w:pPr>
    </w:p>
    <w:p w:rsidR="002A576C" w:rsidRPr="002A576C" w:rsidRDefault="00B54622" w:rsidP="00E06DD3">
      <w:pPr>
        <w:rPr>
          <w:sz w:val="24"/>
          <w:szCs w:val="24"/>
        </w:rPr>
      </w:pPr>
      <w:r w:rsidRPr="002A576C">
        <w:rPr>
          <w:sz w:val="24"/>
          <w:szCs w:val="24"/>
        </w:rPr>
        <w:t xml:space="preserve">Inflation and pay reserves are </w:t>
      </w:r>
      <w:r w:rsidR="002A576C" w:rsidRPr="002A576C">
        <w:rPr>
          <w:sz w:val="24"/>
          <w:szCs w:val="24"/>
        </w:rPr>
        <w:t>over</w:t>
      </w:r>
      <w:r w:rsidRPr="002A576C">
        <w:rPr>
          <w:sz w:val="24"/>
          <w:szCs w:val="24"/>
        </w:rPr>
        <w:t>committed</w:t>
      </w:r>
      <w:r w:rsidR="002A576C" w:rsidRPr="002A576C">
        <w:rPr>
          <w:sz w:val="24"/>
          <w:szCs w:val="24"/>
        </w:rPr>
        <w:t xml:space="preserve"> primarily linked to forecast Interest payment pressures above plan</w:t>
      </w:r>
      <w:r w:rsidRPr="002A576C">
        <w:rPr>
          <w:sz w:val="24"/>
          <w:szCs w:val="24"/>
        </w:rPr>
        <w:t>.</w:t>
      </w:r>
    </w:p>
    <w:p w:rsidR="00B54622" w:rsidRPr="002A576C" w:rsidRDefault="00B54622" w:rsidP="00E06DD3">
      <w:pPr>
        <w:rPr>
          <w:sz w:val="24"/>
          <w:szCs w:val="24"/>
        </w:rPr>
      </w:pPr>
      <w:r w:rsidRPr="002A576C">
        <w:rPr>
          <w:sz w:val="24"/>
          <w:szCs w:val="24"/>
        </w:rPr>
        <w:t xml:space="preserve"> </w:t>
      </w:r>
    </w:p>
    <w:p w:rsidR="00B54622" w:rsidRDefault="00B54622" w:rsidP="00E06DD3">
      <w:pPr>
        <w:rPr>
          <w:sz w:val="24"/>
          <w:szCs w:val="24"/>
        </w:rPr>
      </w:pPr>
      <w:r w:rsidRPr="002A576C">
        <w:rPr>
          <w:sz w:val="24"/>
          <w:szCs w:val="24"/>
        </w:rPr>
        <w:t>Activity and capacity reserves are currently assumed fully committed, subject to finalising the remaining business cases for capacity and variable costs</w:t>
      </w:r>
      <w:r w:rsidR="002A576C" w:rsidRPr="002A576C">
        <w:rPr>
          <w:sz w:val="24"/>
          <w:szCs w:val="24"/>
        </w:rPr>
        <w:t xml:space="preserve"> and Winter resilience requirements</w:t>
      </w:r>
      <w:r w:rsidRPr="002A576C">
        <w:rPr>
          <w:sz w:val="24"/>
          <w:szCs w:val="24"/>
        </w:rPr>
        <w:t>.</w:t>
      </w:r>
    </w:p>
    <w:p w:rsidR="002A576C" w:rsidRDefault="002A576C" w:rsidP="00E06DD3">
      <w:pPr>
        <w:rPr>
          <w:sz w:val="24"/>
          <w:szCs w:val="24"/>
        </w:rPr>
      </w:pPr>
    </w:p>
    <w:p w:rsidR="003F2A3F" w:rsidRDefault="002A576C" w:rsidP="002A576C">
      <w:pPr>
        <w:rPr>
          <w:b/>
          <w:color w:val="FF0000"/>
          <w:sz w:val="24"/>
          <w:szCs w:val="24"/>
        </w:rPr>
      </w:pPr>
      <w:r>
        <w:rPr>
          <w:sz w:val="24"/>
          <w:szCs w:val="24"/>
        </w:rPr>
        <w:t>In addition to the already committed investments, additional Business Cases have also been presented for further consideration. These will need to be reviewed as part of the prioritisation process.</w:t>
      </w:r>
      <w:r w:rsidR="003F2A3F">
        <w:rPr>
          <w:b/>
          <w:color w:val="FF0000"/>
          <w:sz w:val="24"/>
          <w:szCs w:val="24"/>
        </w:rPr>
        <w:br w:type="page"/>
      </w:r>
    </w:p>
    <w:p w:rsidR="000F1B11" w:rsidRPr="00FC68BA" w:rsidRDefault="00877AB4" w:rsidP="000F1B11">
      <w:pPr>
        <w:rPr>
          <w:b/>
          <w:sz w:val="28"/>
          <w:szCs w:val="28"/>
        </w:rPr>
      </w:pPr>
      <w:r w:rsidRPr="00FC68BA">
        <w:rPr>
          <w:b/>
          <w:sz w:val="24"/>
          <w:szCs w:val="24"/>
        </w:rPr>
        <w:lastRenderedPageBreak/>
        <w:t>9</w:t>
      </w:r>
      <w:r w:rsidR="00736F83" w:rsidRPr="00FC68BA">
        <w:rPr>
          <w:b/>
          <w:sz w:val="24"/>
          <w:szCs w:val="24"/>
        </w:rPr>
        <w:t>.</w:t>
      </w:r>
      <w:r w:rsidR="000F1B11" w:rsidRPr="00FC68BA">
        <w:rPr>
          <w:b/>
          <w:sz w:val="24"/>
          <w:szCs w:val="24"/>
        </w:rPr>
        <w:tab/>
        <w:t>Financial S</w:t>
      </w:r>
      <w:r w:rsidR="00736F83" w:rsidRPr="00FC68BA">
        <w:rPr>
          <w:b/>
          <w:sz w:val="24"/>
          <w:szCs w:val="24"/>
        </w:rPr>
        <w:t>pecial Measures:</w:t>
      </w:r>
    </w:p>
    <w:p w:rsidR="00EE5841" w:rsidRPr="00FC68BA" w:rsidRDefault="00EE5841" w:rsidP="00B0601E"/>
    <w:p w:rsidR="00FC68BA" w:rsidRPr="0033399D" w:rsidRDefault="00FC68BA" w:rsidP="00055688">
      <w:pPr>
        <w:rPr>
          <w:rFonts w:eastAsia="Calibri" w:cs="Arial"/>
          <w:sz w:val="24"/>
          <w:szCs w:val="24"/>
        </w:rPr>
      </w:pPr>
      <w:r w:rsidRPr="00FC68BA">
        <w:rPr>
          <w:rFonts w:eastAsia="Calibri" w:cs="Arial"/>
          <w:sz w:val="24"/>
          <w:szCs w:val="24"/>
        </w:rPr>
        <w:t>The current month four year end forecast</w:t>
      </w:r>
      <w:r w:rsidR="0033399D">
        <w:rPr>
          <w:rFonts w:eastAsia="Calibri" w:cs="Arial"/>
          <w:sz w:val="24"/>
          <w:szCs w:val="24"/>
        </w:rPr>
        <w:t xml:space="preserve"> deficit </w:t>
      </w:r>
      <w:r w:rsidRPr="00FC68BA">
        <w:rPr>
          <w:rFonts w:eastAsia="Calibri" w:cs="Arial"/>
          <w:sz w:val="24"/>
          <w:szCs w:val="24"/>
        </w:rPr>
        <w:t>of £47.0m will currently not deliver the Trus</w:t>
      </w:r>
      <w:r w:rsidR="0033399D">
        <w:rPr>
          <w:rFonts w:eastAsia="Calibri" w:cs="Arial"/>
          <w:sz w:val="24"/>
          <w:szCs w:val="24"/>
        </w:rPr>
        <w:t>ts</w:t>
      </w:r>
      <w:r w:rsidRPr="00FC68BA">
        <w:rPr>
          <w:rFonts w:eastAsia="Calibri" w:cs="Arial"/>
          <w:sz w:val="24"/>
          <w:szCs w:val="24"/>
        </w:rPr>
        <w:t xml:space="preserve"> planned deficit of £31.3m. After excluding the Provider </w:t>
      </w:r>
      <w:r w:rsidR="0033399D" w:rsidRPr="00FC68BA">
        <w:rPr>
          <w:rFonts w:eastAsia="Calibri" w:cs="Arial"/>
          <w:sz w:val="24"/>
          <w:szCs w:val="24"/>
        </w:rPr>
        <w:t>Sustainability</w:t>
      </w:r>
      <w:r w:rsidRPr="00FC68BA">
        <w:rPr>
          <w:rFonts w:eastAsia="Calibri" w:cs="Arial"/>
          <w:sz w:val="24"/>
          <w:szCs w:val="24"/>
        </w:rPr>
        <w:t xml:space="preserve"> funding variance of £7.2m the Trust would still be adrift of the control total by £8.5m. </w:t>
      </w:r>
      <w:r w:rsidR="0033399D">
        <w:rPr>
          <w:rFonts w:eastAsia="Calibri" w:cs="Arial"/>
          <w:sz w:val="24"/>
          <w:szCs w:val="24"/>
        </w:rPr>
        <w:t xml:space="preserve">This would represent deterioration in headline year on year deficit which would make it extremely difficult to exit Financial Special </w:t>
      </w:r>
      <w:r w:rsidR="0033399D" w:rsidRPr="0033399D">
        <w:rPr>
          <w:rFonts w:eastAsia="Calibri" w:cs="Arial"/>
          <w:sz w:val="24"/>
          <w:szCs w:val="24"/>
        </w:rPr>
        <w:t>Measures.</w:t>
      </w:r>
    </w:p>
    <w:p w:rsidR="00FC68BA" w:rsidRPr="0033399D" w:rsidRDefault="00FC68BA" w:rsidP="00055688">
      <w:pPr>
        <w:rPr>
          <w:rFonts w:eastAsia="Calibri" w:cs="Arial"/>
          <w:sz w:val="24"/>
          <w:szCs w:val="24"/>
        </w:rPr>
      </w:pPr>
    </w:p>
    <w:p w:rsidR="0033399D" w:rsidRPr="0033399D" w:rsidRDefault="0033399D" w:rsidP="00055688">
      <w:pPr>
        <w:rPr>
          <w:rFonts w:eastAsia="Calibri" w:cs="Arial"/>
          <w:sz w:val="24"/>
          <w:szCs w:val="24"/>
        </w:rPr>
      </w:pPr>
      <w:r w:rsidRPr="0033399D">
        <w:rPr>
          <w:rFonts w:eastAsia="Calibri" w:cs="Arial"/>
          <w:sz w:val="24"/>
          <w:szCs w:val="24"/>
        </w:rPr>
        <w:t>To re-cap from last month;</w:t>
      </w:r>
    </w:p>
    <w:p w:rsidR="0033399D" w:rsidRPr="0033399D" w:rsidRDefault="0033399D" w:rsidP="00055688">
      <w:pPr>
        <w:rPr>
          <w:rFonts w:eastAsia="Calibri" w:cs="Arial"/>
          <w:sz w:val="24"/>
          <w:szCs w:val="24"/>
        </w:rPr>
      </w:pPr>
    </w:p>
    <w:p w:rsidR="00055688" w:rsidRPr="0033399D" w:rsidRDefault="0033399D" w:rsidP="00055688">
      <w:pPr>
        <w:rPr>
          <w:rFonts w:eastAsia="Calibri" w:cs="Arial"/>
          <w:sz w:val="24"/>
          <w:szCs w:val="24"/>
        </w:rPr>
      </w:pPr>
      <w:r w:rsidRPr="0033399D">
        <w:rPr>
          <w:rFonts w:eastAsia="Calibri" w:cs="Arial"/>
          <w:sz w:val="24"/>
          <w:szCs w:val="24"/>
        </w:rPr>
        <w:t>Though f</w:t>
      </w:r>
      <w:r w:rsidR="00055688" w:rsidRPr="0033399D">
        <w:rPr>
          <w:rFonts w:eastAsia="Calibri" w:cs="Arial"/>
          <w:sz w:val="24"/>
          <w:szCs w:val="24"/>
        </w:rPr>
        <w:t>ull achievement of this plan would not be an essential pr</w:t>
      </w:r>
      <w:r w:rsidRPr="0033399D">
        <w:rPr>
          <w:rFonts w:eastAsia="Calibri" w:cs="Arial"/>
          <w:sz w:val="24"/>
          <w:szCs w:val="24"/>
        </w:rPr>
        <w:t xml:space="preserve">erequisite to exiting FSM, </w:t>
      </w:r>
      <w:r w:rsidR="00055688" w:rsidRPr="0033399D">
        <w:rPr>
          <w:rFonts w:eastAsia="Calibri" w:cs="Arial"/>
          <w:sz w:val="24"/>
          <w:szCs w:val="24"/>
        </w:rPr>
        <w:t>improving on last year’s equivalent deficit of £43.0m would be – it is hard for a regulator to remove an organisation from FSM whilst it has a still deteriorating financial position.</w:t>
      </w:r>
    </w:p>
    <w:p w:rsidR="00055688" w:rsidRPr="0033399D" w:rsidRDefault="00055688" w:rsidP="00055688">
      <w:pPr>
        <w:rPr>
          <w:rFonts w:eastAsia="Calibri" w:cs="Arial"/>
          <w:sz w:val="24"/>
          <w:szCs w:val="24"/>
        </w:rPr>
      </w:pPr>
    </w:p>
    <w:p w:rsidR="00055688" w:rsidRPr="0033399D" w:rsidRDefault="00055688" w:rsidP="00055688">
      <w:pPr>
        <w:rPr>
          <w:rFonts w:eastAsia="Calibri" w:cs="Arial"/>
          <w:sz w:val="24"/>
          <w:szCs w:val="24"/>
        </w:rPr>
      </w:pPr>
      <w:r w:rsidRPr="0033399D">
        <w:rPr>
          <w:rFonts w:eastAsia="Calibri" w:cs="Arial"/>
          <w:sz w:val="24"/>
          <w:szCs w:val="24"/>
        </w:rPr>
        <w:t>The key factors are therefore likely to be:</w:t>
      </w:r>
    </w:p>
    <w:p w:rsidR="00055688" w:rsidRPr="0033399D" w:rsidRDefault="00055688" w:rsidP="00055688">
      <w:pPr>
        <w:rPr>
          <w:rFonts w:eastAsia="Calibri" w:cs="Arial"/>
          <w:sz w:val="24"/>
          <w:szCs w:val="24"/>
        </w:rPr>
      </w:pPr>
    </w:p>
    <w:p w:rsidR="00055688" w:rsidRPr="0033399D" w:rsidRDefault="00055688" w:rsidP="00055688">
      <w:pPr>
        <w:numPr>
          <w:ilvl w:val="0"/>
          <w:numId w:val="35"/>
        </w:numPr>
        <w:rPr>
          <w:rFonts w:eastAsia="Calibri" w:cs="Arial"/>
          <w:sz w:val="24"/>
          <w:szCs w:val="24"/>
        </w:rPr>
      </w:pPr>
      <w:r w:rsidRPr="0033399D">
        <w:rPr>
          <w:rFonts w:eastAsia="Calibri" w:cs="Arial"/>
          <w:sz w:val="24"/>
          <w:szCs w:val="24"/>
        </w:rPr>
        <w:t>Does our end of year forecast deficit remain ahead of £43.0m for 2018/19?</w:t>
      </w:r>
    </w:p>
    <w:p w:rsidR="00055688" w:rsidRPr="0033399D" w:rsidRDefault="00055688" w:rsidP="00055688">
      <w:pPr>
        <w:numPr>
          <w:ilvl w:val="0"/>
          <w:numId w:val="35"/>
        </w:numPr>
        <w:rPr>
          <w:rFonts w:eastAsia="Calibri" w:cs="Arial"/>
          <w:sz w:val="24"/>
          <w:szCs w:val="24"/>
        </w:rPr>
      </w:pPr>
      <w:r w:rsidRPr="0033399D">
        <w:rPr>
          <w:rFonts w:eastAsia="Calibri" w:cs="Arial"/>
          <w:sz w:val="24"/>
          <w:szCs w:val="24"/>
        </w:rPr>
        <w:t>Have we improve</w:t>
      </w:r>
      <w:r w:rsidR="00FD67BB" w:rsidRPr="0033399D">
        <w:rPr>
          <w:rFonts w:eastAsia="Calibri" w:cs="Arial"/>
          <w:sz w:val="24"/>
          <w:szCs w:val="24"/>
        </w:rPr>
        <w:t>d our position to demonstrate at least</w:t>
      </w:r>
      <w:r w:rsidRPr="0033399D">
        <w:rPr>
          <w:rFonts w:eastAsia="Calibri" w:cs="Arial"/>
          <w:sz w:val="24"/>
          <w:szCs w:val="24"/>
        </w:rPr>
        <w:t xml:space="preserve"> 6 months of delivery in line with plan?</w:t>
      </w:r>
    </w:p>
    <w:p w:rsidR="00055688" w:rsidRPr="0033399D" w:rsidRDefault="00055688" w:rsidP="00055688">
      <w:pPr>
        <w:numPr>
          <w:ilvl w:val="0"/>
          <w:numId w:val="35"/>
        </w:numPr>
        <w:rPr>
          <w:rFonts w:eastAsia="Calibri" w:cs="Arial"/>
          <w:sz w:val="24"/>
          <w:szCs w:val="24"/>
        </w:rPr>
      </w:pPr>
      <w:r w:rsidRPr="0033399D">
        <w:rPr>
          <w:rFonts w:eastAsia="Calibri" w:cs="Arial"/>
          <w:sz w:val="24"/>
          <w:szCs w:val="24"/>
        </w:rPr>
        <w:t>Do NHSI have confidence we have a grip on all the key financial issues?</w:t>
      </w:r>
    </w:p>
    <w:p w:rsidR="00055688" w:rsidRPr="0033399D" w:rsidRDefault="00055688" w:rsidP="00055688">
      <w:pPr>
        <w:rPr>
          <w:rFonts w:eastAsia="Calibri" w:cs="Arial"/>
          <w:sz w:val="24"/>
          <w:szCs w:val="24"/>
        </w:rPr>
      </w:pPr>
    </w:p>
    <w:p w:rsidR="00055688" w:rsidRPr="0033399D" w:rsidRDefault="00055688" w:rsidP="00055688">
      <w:pPr>
        <w:rPr>
          <w:rFonts w:eastAsia="Calibri" w:cs="Arial"/>
          <w:sz w:val="24"/>
          <w:szCs w:val="24"/>
        </w:rPr>
      </w:pPr>
      <w:r w:rsidRPr="0033399D">
        <w:rPr>
          <w:rFonts w:eastAsia="Calibri" w:cs="Arial"/>
          <w:sz w:val="24"/>
          <w:szCs w:val="24"/>
        </w:rPr>
        <w:t xml:space="preserve">In terms of the last point, the most </w:t>
      </w:r>
      <w:r w:rsidR="00FD67BB" w:rsidRPr="0033399D">
        <w:rPr>
          <w:rFonts w:eastAsia="Calibri" w:cs="Arial"/>
          <w:sz w:val="24"/>
          <w:szCs w:val="24"/>
        </w:rPr>
        <w:t>critical issues facing the Trust</w:t>
      </w:r>
      <w:r w:rsidRPr="0033399D">
        <w:rPr>
          <w:rFonts w:eastAsia="Calibri" w:cs="Arial"/>
          <w:sz w:val="24"/>
          <w:szCs w:val="24"/>
        </w:rPr>
        <w:t xml:space="preserve"> are:</w:t>
      </w:r>
    </w:p>
    <w:p w:rsidR="00055688" w:rsidRPr="0033399D" w:rsidRDefault="00055688" w:rsidP="00055688">
      <w:pPr>
        <w:rPr>
          <w:rFonts w:eastAsia="Calibri" w:cs="Arial"/>
          <w:sz w:val="24"/>
          <w:szCs w:val="24"/>
        </w:rPr>
      </w:pPr>
    </w:p>
    <w:p w:rsidR="00055688" w:rsidRPr="0033399D" w:rsidRDefault="00055688" w:rsidP="00055688">
      <w:pPr>
        <w:numPr>
          <w:ilvl w:val="0"/>
          <w:numId w:val="36"/>
        </w:numPr>
        <w:rPr>
          <w:rFonts w:eastAsia="Calibri" w:cs="Arial"/>
          <w:sz w:val="24"/>
          <w:szCs w:val="24"/>
        </w:rPr>
      </w:pPr>
      <w:r w:rsidRPr="0033399D">
        <w:rPr>
          <w:rFonts w:eastAsia="Calibri" w:cs="Arial"/>
          <w:sz w:val="24"/>
          <w:szCs w:val="24"/>
        </w:rPr>
        <w:t>Robust activity and capacity plans, demonstrated by significantly improved planned care activity delivery;</w:t>
      </w:r>
    </w:p>
    <w:p w:rsidR="00055688" w:rsidRPr="0033399D" w:rsidRDefault="00055688" w:rsidP="00055688">
      <w:pPr>
        <w:numPr>
          <w:ilvl w:val="0"/>
          <w:numId w:val="36"/>
        </w:numPr>
        <w:rPr>
          <w:rFonts w:eastAsia="Calibri" w:cs="Arial"/>
          <w:sz w:val="24"/>
          <w:szCs w:val="24"/>
        </w:rPr>
      </w:pPr>
      <w:r w:rsidRPr="0033399D">
        <w:rPr>
          <w:rFonts w:eastAsia="Calibri" w:cs="Arial"/>
          <w:sz w:val="24"/>
          <w:szCs w:val="24"/>
        </w:rPr>
        <w:t>A material improvement on the management of agency and locum costs across clinical care;</w:t>
      </w:r>
    </w:p>
    <w:p w:rsidR="00055688" w:rsidRPr="0033399D" w:rsidRDefault="00055688" w:rsidP="00055688">
      <w:pPr>
        <w:numPr>
          <w:ilvl w:val="0"/>
          <w:numId w:val="36"/>
        </w:numPr>
        <w:rPr>
          <w:rFonts w:eastAsia="Calibri" w:cs="Arial"/>
          <w:sz w:val="24"/>
          <w:szCs w:val="24"/>
        </w:rPr>
      </w:pPr>
      <w:r w:rsidRPr="0033399D">
        <w:rPr>
          <w:rFonts w:eastAsia="Calibri" w:cs="Arial"/>
          <w:sz w:val="24"/>
          <w:szCs w:val="24"/>
        </w:rPr>
        <w:t>A robust non pay/procurement savings programme, delivering material savings month by month;</w:t>
      </w:r>
    </w:p>
    <w:p w:rsidR="00055688" w:rsidRPr="0033399D" w:rsidRDefault="00055688" w:rsidP="00055688">
      <w:pPr>
        <w:numPr>
          <w:ilvl w:val="0"/>
          <w:numId w:val="36"/>
        </w:numPr>
        <w:rPr>
          <w:rFonts w:eastAsia="Calibri" w:cs="Arial"/>
          <w:sz w:val="24"/>
          <w:szCs w:val="24"/>
        </w:rPr>
      </w:pPr>
      <w:r w:rsidRPr="0033399D">
        <w:rPr>
          <w:rFonts w:eastAsia="Calibri" w:cs="Arial"/>
          <w:sz w:val="24"/>
          <w:szCs w:val="24"/>
        </w:rPr>
        <w:t>Continued control over non clinical staffing and discretionary spend costs.</w:t>
      </w:r>
    </w:p>
    <w:p w:rsidR="00055688" w:rsidRPr="0033399D" w:rsidRDefault="00055688" w:rsidP="00055688">
      <w:pPr>
        <w:rPr>
          <w:rFonts w:eastAsia="Calibri" w:cs="Arial"/>
          <w:sz w:val="24"/>
          <w:szCs w:val="24"/>
        </w:rPr>
      </w:pPr>
    </w:p>
    <w:p w:rsidR="00055688" w:rsidRPr="0033399D" w:rsidRDefault="00FD67BB" w:rsidP="00055688">
      <w:pPr>
        <w:rPr>
          <w:rFonts w:eastAsia="Calibri" w:cs="Arial"/>
          <w:sz w:val="24"/>
          <w:szCs w:val="24"/>
        </w:rPr>
      </w:pPr>
      <w:r w:rsidRPr="0033399D">
        <w:rPr>
          <w:rFonts w:eastAsia="Calibri" w:cs="Arial"/>
          <w:sz w:val="24"/>
          <w:szCs w:val="24"/>
        </w:rPr>
        <w:t>T</w:t>
      </w:r>
      <w:r w:rsidR="00055688" w:rsidRPr="0033399D">
        <w:rPr>
          <w:rFonts w:eastAsia="Calibri" w:cs="Arial"/>
          <w:sz w:val="24"/>
          <w:szCs w:val="24"/>
        </w:rPr>
        <w:t>h</w:t>
      </w:r>
      <w:r w:rsidR="0033399D" w:rsidRPr="0033399D">
        <w:rPr>
          <w:rFonts w:eastAsia="Calibri" w:cs="Arial"/>
          <w:sz w:val="24"/>
          <w:szCs w:val="24"/>
        </w:rPr>
        <w:t>ere are signs of significant improvements in planned care throu</w:t>
      </w:r>
      <w:r w:rsidR="0033399D">
        <w:rPr>
          <w:rFonts w:eastAsia="Calibri" w:cs="Arial"/>
          <w:sz w:val="24"/>
          <w:szCs w:val="24"/>
        </w:rPr>
        <w:t>gh</w:t>
      </w:r>
      <w:r w:rsidR="0033399D" w:rsidRPr="0033399D">
        <w:rPr>
          <w:rFonts w:eastAsia="Calibri" w:cs="Arial"/>
          <w:sz w:val="24"/>
          <w:szCs w:val="24"/>
        </w:rPr>
        <w:t>put which are starting to demonstrate both stabilisation of Waiting Lists and improved Income flows. It will be critical to protect planned care through the remainder of the year and continue to improve productivity and build capacity where we still have shortfalls.</w:t>
      </w:r>
    </w:p>
    <w:p w:rsidR="0033399D" w:rsidRPr="0033399D" w:rsidRDefault="0033399D" w:rsidP="00055688">
      <w:pPr>
        <w:rPr>
          <w:rFonts w:eastAsia="Calibri" w:cs="Arial"/>
          <w:sz w:val="24"/>
          <w:szCs w:val="24"/>
        </w:rPr>
      </w:pPr>
    </w:p>
    <w:p w:rsidR="0033399D" w:rsidRPr="0033399D" w:rsidRDefault="0033399D" w:rsidP="00055688">
      <w:pPr>
        <w:rPr>
          <w:rFonts w:eastAsia="Calibri" w:cs="Arial"/>
          <w:sz w:val="24"/>
          <w:szCs w:val="24"/>
        </w:rPr>
      </w:pPr>
      <w:r w:rsidRPr="0033399D">
        <w:rPr>
          <w:rFonts w:eastAsia="Calibri" w:cs="Arial"/>
          <w:sz w:val="24"/>
          <w:szCs w:val="24"/>
        </w:rPr>
        <w:t xml:space="preserve">In terms of expenditure, the most critical area of potential risk remains clinical staffing. The savings targets in this area for the remainder of the year are challenging but deliverable given the control improvements that can be made by following through the key recommendations from the NHSI temporary staffing team. </w:t>
      </w:r>
    </w:p>
    <w:p w:rsidR="00055688" w:rsidRPr="0033399D" w:rsidRDefault="00055688" w:rsidP="00055688">
      <w:pPr>
        <w:rPr>
          <w:rFonts w:eastAsia="Calibri" w:cs="Arial"/>
          <w:sz w:val="24"/>
          <w:szCs w:val="24"/>
        </w:rPr>
      </w:pPr>
    </w:p>
    <w:p w:rsidR="00055688" w:rsidRPr="0033399D" w:rsidRDefault="0033399D" w:rsidP="00055688">
      <w:pPr>
        <w:rPr>
          <w:rFonts w:eastAsia="Calibri" w:cs="Arial"/>
          <w:sz w:val="24"/>
          <w:szCs w:val="24"/>
        </w:rPr>
      </w:pPr>
      <w:r w:rsidRPr="0033399D">
        <w:rPr>
          <w:rFonts w:eastAsia="Calibri" w:cs="Arial"/>
          <w:sz w:val="24"/>
          <w:szCs w:val="24"/>
        </w:rPr>
        <w:t>The Trust must also maintain discipline on non clinical staff spend and non pay.</w:t>
      </w:r>
    </w:p>
    <w:p w:rsidR="00EE5841" w:rsidRPr="00877980" w:rsidRDefault="00806268" w:rsidP="00861E27">
      <w:r w:rsidRPr="001F45E0">
        <w:rPr>
          <w:b/>
          <w:color w:val="FF0000"/>
          <w:sz w:val="24"/>
          <w:szCs w:val="24"/>
        </w:rPr>
        <w:br w:type="page"/>
      </w:r>
    </w:p>
    <w:p w:rsidR="00CB30A1" w:rsidRPr="00877980" w:rsidRDefault="00CB30A1" w:rsidP="00CB30A1">
      <w:pPr>
        <w:rPr>
          <w:b/>
          <w:sz w:val="24"/>
          <w:szCs w:val="24"/>
        </w:rPr>
      </w:pPr>
      <w:r w:rsidRPr="00877980">
        <w:rPr>
          <w:b/>
          <w:sz w:val="24"/>
          <w:szCs w:val="24"/>
        </w:rPr>
        <w:lastRenderedPageBreak/>
        <w:t>1</w:t>
      </w:r>
      <w:r w:rsidR="00877AB4" w:rsidRPr="00877980">
        <w:rPr>
          <w:b/>
          <w:sz w:val="24"/>
          <w:szCs w:val="24"/>
        </w:rPr>
        <w:t>0</w:t>
      </w:r>
      <w:r w:rsidR="001751E7" w:rsidRPr="00877980">
        <w:rPr>
          <w:b/>
          <w:sz w:val="24"/>
          <w:szCs w:val="24"/>
        </w:rPr>
        <w:t>.</w:t>
      </w:r>
      <w:r w:rsidRPr="00877980">
        <w:rPr>
          <w:b/>
          <w:sz w:val="24"/>
          <w:szCs w:val="24"/>
        </w:rPr>
        <w:tab/>
        <w:t>Conclusion:</w:t>
      </w:r>
    </w:p>
    <w:p w:rsidR="00C95280" w:rsidRPr="00C44D07" w:rsidRDefault="00C95280" w:rsidP="00C95280"/>
    <w:p w:rsidR="009F4CE8" w:rsidRPr="00C44D07" w:rsidRDefault="006150F3" w:rsidP="003027CA">
      <w:pPr>
        <w:rPr>
          <w:sz w:val="24"/>
          <w:szCs w:val="24"/>
        </w:rPr>
      </w:pPr>
      <w:r w:rsidRPr="00C44D07">
        <w:rPr>
          <w:sz w:val="24"/>
          <w:szCs w:val="24"/>
        </w:rPr>
        <w:t>The Trust can now see the storylines for 2018/19 emerging, and there is still significant work to do to deliver assurance that a reasonable outturn can be delivered in 2018/19.</w:t>
      </w:r>
      <w:r w:rsidR="00C16A62">
        <w:rPr>
          <w:sz w:val="24"/>
          <w:szCs w:val="24"/>
        </w:rPr>
        <w:t xml:space="preserve"> The main year to date variances are still recoverable at this point of the year.</w:t>
      </w:r>
    </w:p>
    <w:p w:rsidR="006150F3" w:rsidRPr="00C44D07" w:rsidRDefault="006150F3" w:rsidP="003027CA">
      <w:pPr>
        <w:rPr>
          <w:sz w:val="24"/>
          <w:szCs w:val="24"/>
        </w:rPr>
      </w:pPr>
    </w:p>
    <w:p w:rsidR="00C44D07" w:rsidRPr="00C44D07" w:rsidRDefault="006150F3" w:rsidP="003027CA">
      <w:pPr>
        <w:rPr>
          <w:sz w:val="24"/>
          <w:szCs w:val="24"/>
        </w:rPr>
      </w:pPr>
      <w:r w:rsidRPr="00C44D07">
        <w:rPr>
          <w:sz w:val="24"/>
          <w:szCs w:val="24"/>
        </w:rPr>
        <w:t xml:space="preserve">Activity and income monitoring has </w:t>
      </w:r>
      <w:r w:rsidR="00C44D07" w:rsidRPr="00C44D07">
        <w:rPr>
          <w:sz w:val="24"/>
          <w:szCs w:val="24"/>
        </w:rPr>
        <w:t>now been established but will require further refinement and is compromised by coding backlogs</w:t>
      </w:r>
      <w:r w:rsidRPr="00C44D07">
        <w:rPr>
          <w:sz w:val="24"/>
          <w:szCs w:val="24"/>
        </w:rPr>
        <w:t>, so a totally robust picture is not yet available. It is critical th</w:t>
      </w:r>
      <w:r w:rsidR="00C44D07" w:rsidRPr="00C44D07">
        <w:rPr>
          <w:sz w:val="24"/>
          <w:szCs w:val="24"/>
        </w:rPr>
        <w:t>at this is corrected as planned</w:t>
      </w:r>
      <w:r w:rsidRPr="00C44D07">
        <w:rPr>
          <w:sz w:val="24"/>
          <w:szCs w:val="24"/>
        </w:rPr>
        <w:t>.</w:t>
      </w:r>
    </w:p>
    <w:p w:rsidR="006150F3" w:rsidRPr="00CA26A7" w:rsidRDefault="006150F3" w:rsidP="003027CA">
      <w:pPr>
        <w:rPr>
          <w:color w:val="FF0000"/>
          <w:sz w:val="24"/>
          <w:szCs w:val="24"/>
        </w:rPr>
      </w:pPr>
      <w:r w:rsidRPr="00CA26A7">
        <w:rPr>
          <w:color w:val="FF0000"/>
          <w:sz w:val="24"/>
          <w:szCs w:val="24"/>
        </w:rPr>
        <w:t xml:space="preserve"> </w:t>
      </w:r>
    </w:p>
    <w:p w:rsidR="006150F3" w:rsidRPr="00CA26A7" w:rsidRDefault="006150F3" w:rsidP="003027CA">
      <w:pPr>
        <w:rPr>
          <w:color w:val="FF0000"/>
          <w:sz w:val="24"/>
          <w:szCs w:val="24"/>
        </w:rPr>
      </w:pPr>
      <w:r w:rsidRPr="00C16A62">
        <w:rPr>
          <w:sz w:val="24"/>
          <w:szCs w:val="24"/>
        </w:rPr>
        <w:t>Evidence</w:t>
      </w:r>
      <w:r w:rsidR="0085776C" w:rsidRPr="00C16A62">
        <w:rPr>
          <w:sz w:val="24"/>
          <w:szCs w:val="24"/>
        </w:rPr>
        <w:t xml:space="preserve"> we </w:t>
      </w:r>
      <w:r w:rsidR="00C16A62" w:rsidRPr="00C16A62">
        <w:rPr>
          <w:sz w:val="24"/>
          <w:szCs w:val="24"/>
        </w:rPr>
        <w:t xml:space="preserve">now </w:t>
      </w:r>
      <w:r w:rsidR="0085776C" w:rsidRPr="00C16A62">
        <w:rPr>
          <w:sz w:val="24"/>
          <w:szCs w:val="24"/>
        </w:rPr>
        <w:t xml:space="preserve">have does suggest that significant planned care activity improvement has been delivered, that underlying demand across urgent and planned care is </w:t>
      </w:r>
      <w:r w:rsidR="00C16A62" w:rsidRPr="00C16A62">
        <w:rPr>
          <w:sz w:val="24"/>
          <w:szCs w:val="24"/>
        </w:rPr>
        <w:t xml:space="preserve">now ached of </w:t>
      </w:r>
      <w:r w:rsidR="0085776C" w:rsidRPr="00C16A62">
        <w:rPr>
          <w:sz w:val="24"/>
          <w:szCs w:val="24"/>
        </w:rPr>
        <w:t xml:space="preserve">the Trust’s </w:t>
      </w:r>
      <w:r w:rsidR="00C16A62" w:rsidRPr="00C16A62">
        <w:rPr>
          <w:sz w:val="24"/>
          <w:szCs w:val="24"/>
        </w:rPr>
        <w:t>and therefore Commissioner p</w:t>
      </w:r>
      <w:r w:rsidR="0085776C" w:rsidRPr="00C16A62">
        <w:rPr>
          <w:sz w:val="24"/>
          <w:szCs w:val="24"/>
        </w:rPr>
        <w:t>rojections. The primary risk therefore is the pace at which productivity and capacity improvements can be delivered to continue to tackle waiting lists. Looking further forward, we also need to ensure that planned care activity is better protected through the winter</w:t>
      </w:r>
      <w:r w:rsidR="0085776C" w:rsidRPr="00CA26A7">
        <w:rPr>
          <w:color w:val="FF0000"/>
          <w:sz w:val="24"/>
          <w:szCs w:val="24"/>
        </w:rPr>
        <w:t>.</w:t>
      </w:r>
    </w:p>
    <w:p w:rsidR="0085776C" w:rsidRPr="00CA26A7" w:rsidRDefault="0085776C" w:rsidP="003027CA">
      <w:pPr>
        <w:rPr>
          <w:color w:val="FF0000"/>
          <w:sz w:val="24"/>
          <w:szCs w:val="24"/>
        </w:rPr>
      </w:pPr>
    </w:p>
    <w:p w:rsidR="0085776C" w:rsidRPr="00C16A62" w:rsidRDefault="0085776C" w:rsidP="003027CA">
      <w:pPr>
        <w:rPr>
          <w:sz w:val="24"/>
          <w:szCs w:val="24"/>
        </w:rPr>
      </w:pPr>
      <w:r w:rsidRPr="00C16A62">
        <w:rPr>
          <w:sz w:val="24"/>
          <w:szCs w:val="24"/>
        </w:rPr>
        <w:t>Waiting list control remains the primary objective – linked to effective management of clinical harm risks. Income projections should be delivered if the necessary waiting list and times objectives are hit.</w:t>
      </w:r>
      <w:r w:rsidR="00C16A62" w:rsidRPr="00C16A62">
        <w:rPr>
          <w:sz w:val="24"/>
          <w:szCs w:val="24"/>
        </w:rPr>
        <w:t xml:space="preserve"> Early signs are that Waiting lists are holding stable so far.</w:t>
      </w:r>
    </w:p>
    <w:p w:rsidR="0085776C" w:rsidRPr="00C16A62" w:rsidRDefault="0085776C" w:rsidP="003027CA">
      <w:pPr>
        <w:rPr>
          <w:sz w:val="24"/>
          <w:szCs w:val="24"/>
        </w:rPr>
      </w:pPr>
    </w:p>
    <w:p w:rsidR="0085776C" w:rsidRPr="00CA26A7" w:rsidRDefault="0085776C" w:rsidP="003027CA">
      <w:pPr>
        <w:rPr>
          <w:color w:val="FF0000"/>
          <w:sz w:val="24"/>
          <w:szCs w:val="24"/>
        </w:rPr>
      </w:pPr>
      <w:r w:rsidRPr="00C16A62">
        <w:rPr>
          <w:sz w:val="24"/>
          <w:szCs w:val="24"/>
        </w:rPr>
        <w:t>QUIPP remains a risk to Trust income, but a net benefit to the wider health economy. The trust therefore must support QUIPP schemes which adopt better streamlined pathways</w:t>
      </w:r>
      <w:r w:rsidRPr="00CA26A7">
        <w:rPr>
          <w:color w:val="FF0000"/>
          <w:sz w:val="24"/>
          <w:szCs w:val="24"/>
        </w:rPr>
        <w:t>.</w:t>
      </w:r>
    </w:p>
    <w:p w:rsidR="0085776C" w:rsidRPr="00CA26A7" w:rsidRDefault="0085776C" w:rsidP="003027CA">
      <w:pPr>
        <w:rPr>
          <w:color w:val="FF0000"/>
          <w:sz w:val="24"/>
          <w:szCs w:val="24"/>
        </w:rPr>
      </w:pPr>
    </w:p>
    <w:p w:rsidR="0085776C" w:rsidRPr="00C16A62" w:rsidRDefault="0085776C" w:rsidP="003027CA">
      <w:pPr>
        <w:rPr>
          <w:sz w:val="24"/>
          <w:szCs w:val="24"/>
        </w:rPr>
      </w:pPr>
      <w:r w:rsidRPr="00C16A62">
        <w:rPr>
          <w:sz w:val="24"/>
          <w:szCs w:val="24"/>
        </w:rPr>
        <w:t>Expenditure controls across clinical pay areas will need to be sufficiently improved if the savings plan is to be delivered. Re-focussing efforts on the critical risks highlighted by the NHSI temporary staffing review for both Medical staff, Nursing and AHP staff groups.</w:t>
      </w:r>
    </w:p>
    <w:p w:rsidR="0085776C" w:rsidRPr="00CA26A7" w:rsidRDefault="0085776C" w:rsidP="003027CA">
      <w:pPr>
        <w:rPr>
          <w:color w:val="FF0000"/>
          <w:sz w:val="24"/>
          <w:szCs w:val="24"/>
        </w:rPr>
      </w:pPr>
    </w:p>
    <w:p w:rsidR="0085776C" w:rsidRPr="00C16A62" w:rsidRDefault="0085776C" w:rsidP="003027CA">
      <w:pPr>
        <w:rPr>
          <w:sz w:val="24"/>
          <w:szCs w:val="24"/>
        </w:rPr>
      </w:pPr>
      <w:r w:rsidRPr="00C16A62">
        <w:rPr>
          <w:sz w:val="24"/>
          <w:szCs w:val="24"/>
        </w:rPr>
        <w:t xml:space="preserve">Non pay savings targets still have huge opportunity for in year delivery. The </w:t>
      </w:r>
      <w:r w:rsidR="009D3090" w:rsidRPr="00C16A62">
        <w:rPr>
          <w:sz w:val="24"/>
          <w:szCs w:val="24"/>
        </w:rPr>
        <w:t>rebuilding</w:t>
      </w:r>
      <w:r w:rsidRPr="00C16A62">
        <w:rPr>
          <w:sz w:val="24"/>
          <w:szCs w:val="24"/>
        </w:rPr>
        <w:t xml:space="preserve"> management teams, and clinical leaders, are showing enthusiasm to get more engaged – we need to build on this quickly.</w:t>
      </w:r>
    </w:p>
    <w:p w:rsidR="0085776C" w:rsidRPr="00CA26A7" w:rsidRDefault="0085776C" w:rsidP="003027CA">
      <w:pPr>
        <w:rPr>
          <w:color w:val="FF0000"/>
          <w:sz w:val="24"/>
          <w:szCs w:val="24"/>
        </w:rPr>
      </w:pPr>
    </w:p>
    <w:p w:rsidR="0085776C" w:rsidRPr="00C16A62" w:rsidRDefault="0085776C" w:rsidP="003027CA">
      <w:pPr>
        <w:rPr>
          <w:sz w:val="24"/>
          <w:szCs w:val="24"/>
        </w:rPr>
      </w:pPr>
      <w:r w:rsidRPr="00C16A62">
        <w:rPr>
          <w:sz w:val="24"/>
          <w:szCs w:val="24"/>
        </w:rPr>
        <w:t xml:space="preserve">Underpinning financial performance in year is the longer term strategic and workforce redesign process which is taking shape as part of </w:t>
      </w:r>
      <w:r w:rsidR="00877980" w:rsidRPr="00C16A62">
        <w:rPr>
          <w:sz w:val="24"/>
          <w:szCs w:val="24"/>
        </w:rPr>
        <w:t>the Humber Review. This will set the groundwork for a more sustainable service framework for NLAG.</w:t>
      </w:r>
    </w:p>
    <w:p w:rsidR="0085776C" w:rsidRPr="00FD67BB" w:rsidRDefault="0085776C" w:rsidP="003027CA">
      <w:pPr>
        <w:rPr>
          <w:color w:val="FF0000"/>
          <w:sz w:val="24"/>
          <w:szCs w:val="24"/>
        </w:rPr>
      </w:pPr>
    </w:p>
    <w:p w:rsidR="009F4CE8" w:rsidRPr="00FD67BB" w:rsidRDefault="009F4CE8" w:rsidP="003027CA">
      <w:pPr>
        <w:rPr>
          <w:color w:val="FF0000"/>
          <w:sz w:val="24"/>
          <w:szCs w:val="24"/>
        </w:rPr>
      </w:pPr>
    </w:p>
    <w:p w:rsidR="009B5AD2" w:rsidRPr="00877AB4" w:rsidRDefault="009B5AD2" w:rsidP="00CB30A1">
      <w:pPr>
        <w:rPr>
          <w:color w:val="FF0000"/>
        </w:rPr>
      </w:pPr>
    </w:p>
    <w:p w:rsidR="009B5AD2" w:rsidRPr="00877AB4" w:rsidRDefault="009B5AD2" w:rsidP="00CB30A1">
      <w:pPr>
        <w:rPr>
          <w:color w:val="FF0000"/>
        </w:rPr>
      </w:pPr>
    </w:p>
    <w:p w:rsidR="009B5AD2" w:rsidRPr="00877AB4" w:rsidRDefault="009B5AD2" w:rsidP="00CB30A1">
      <w:pPr>
        <w:rPr>
          <w:color w:val="FF0000"/>
        </w:rPr>
      </w:pPr>
    </w:p>
    <w:p w:rsidR="009B5AD2" w:rsidRPr="00877AB4" w:rsidRDefault="009B5AD2" w:rsidP="00CB30A1">
      <w:pPr>
        <w:rPr>
          <w:color w:val="FF0000"/>
        </w:rPr>
      </w:pPr>
    </w:p>
    <w:p w:rsidR="009B5AD2" w:rsidRPr="00877AB4" w:rsidRDefault="009B5AD2" w:rsidP="00CB30A1">
      <w:pPr>
        <w:rPr>
          <w:color w:val="FF0000"/>
        </w:rPr>
      </w:pPr>
    </w:p>
    <w:p w:rsidR="00CB30A1" w:rsidRPr="00F9420F" w:rsidRDefault="00CB30A1" w:rsidP="00CB30A1">
      <w:pPr>
        <w:rPr>
          <w:sz w:val="24"/>
          <w:szCs w:val="24"/>
        </w:rPr>
      </w:pPr>
    </w:p>
    <w:p w:rsidR="00BC63DE" w:rsidRPr="00F9420F" w:rsidRDefault="00690D9B" w:rsidP="00CB30A1">
      <w:pPr>
        <w:rPr>
          <w:b/>
          <w:sz w:val="24"/>
          <w:szCs w:val="24"/>
        </w:rPr>
      </w:pPr>
      <w:r w:rsidRPr="00F9420F">
        <w:rPr>
          <w:b/>
          <w:sz w:val="24"/>
          <w:szCs w:val="24"/>
        </w:rPr>
        <w:t xml:space="preserve">Marcus Hassall </w:t>
      </w:r>
    </w:p>
    <w:p w:rsidR="00690D9B" w:rsidRPr="00F9420F" w:rsidRDefault="00690D9B" w:rsidP="00CB30A1">
      <w:pPr>
        <w:rPr>
          <w:b/>
          <w:sz w:val="24"/>
          <w:szCs w:val="24"/>
        </w:rPr>
      </w:pPr>
      <w:r w:rsidRPr="00F9420F">
        <w:rPr>
          <w:b/>
          <w:sz w:val="24"/>
          <w:szCs w:val="24"/>
        </w:rPr>
        <w:t>Director of Finance</w:t>
      </w:r>
    </w:p>
    <w:p w:rsidR="00CB30A1" w:rsidRPr="00F9420F" w:rsidRDefault="00CA26A7" w:rsidP="00CB30A1">
      <w:pPr>
        <w:rPr>
          <w:b/>
          <w:sz w:val="24"/>
          <w:szCs w:val="24"/>
        </w:rPr>
      </w:pPr>
      <w:r>
        <w:rPr>
          <w:b/>
          <w:sz w:val="24"/>
          <w:szCs w:val="24"/>
        </w:rPr>
        <w:t>August</w:t>
      </w:r>
      <w:r w:rsidR="00BC63DE" w:rsidRPr="00F9420F">
        <w:rPr>
          <w:b/>
          <w:sz w:val="24"/>
          <w:szCs w:val="24"/>
        </w:rPr>
        <w:t xml:space="preserve"> 201</w:t>
      </w:r>
      <w:r w:rsidR="000F1CB9" w:rsidRPr="00F9420F">
        <w:rPr>
          <w:b/>
          <w:sz w:val="24"/>
          <w:szCs w:val="24"/>
        </w:rPr>
        <w:t>8</w:t>
      </w:r>
    </w:p>
    <w:p w:rsidR="00CB30A1" w:rsidRDefault="00CB30A1" w:rsidP="00CB30A1">
      <w:pPr>
        <w:rPr>
          <w:b/>
        </w:rPr>
      </w:pPr>
    </w:p>
    <w:p w:rsidR="004F3952" w:rsidRDefault="004F3952">
      <w:pPr>
        <w:spacing w:after="200" w:line="276" w:lineRule="auto"/>
        <w:jc w:val="left"/>
        <w:rPr>
          <w:b/>
        </w:rPr>
      </w:pPr>
      <w:r>
        <w:rPr>
          <w:b/>
        </w:rPr>
        <w:br w:type="page"/>
      </w:r>
    </w:p>
    <w:p w:rsidR="004F3952" w:rsidRDefault="004F3952" w:rsidP="004F3952">
      <w:pPr>
        <w:spacing w:after="200" w:line="276" w:lineRule="auto"/>
        <w:jc w:val="left"/>
        <w:rPr>
          <w:b/>
        </w:rPr>
      </w:pPr>
      <w:r>
        <w:rPr>
          <w:b/>
        </w:rPr>
        <w:lastRenderedPageBreak/>
        <w:t>A</w:t>
      </w:r>
      <w:r w:rsidRPr="00136052">
        <w:rPr>
          <w:b/>
        </w:rPr>
        <w:t xml:space="preserve">ppendix </w:t>
      </w:r>
      <w:r>
        <w:rPr>
          <w:b/>
        </w:rPr>
        <w:t>I</w:t>
      </w:r>
      <w:r w:rsidRPr="00136052">
        <w:rPr>
          <w:b/>
        </w:rPr>
        <w:t>:</w:t>
      </w:r>
      <w:r w:rsidRPr="00136052">
        <w:rPr>
          <w:b/>
        </w:rPr>
        <w:tab/>
      </w:r>
      <w:r w:rsidRPr="005B13B6">
        <w:rPr>
          <w:b/>
        </w:rPr>
        <w:t>Corporate Finance Information Pack:</w:t>
      </w:r>
      <w:r w:rsidRPr="00136052">
        <w:rPr>
          <w:b/>
        </w:rPr>
        <w:t xml:space="preserve"> </w:t>
      </w:r>
    </w:p>
    <w:p w:rsidR="00D8035F" w:rsidRDefault="00EA2A1F" w:rsidP="004F3952">
      <w:pPr>
        <w:spacing w:after="200" w:line="276" w:lineRule="auto"/>
        <w:jc w:val="left"/>
        <w:rPr>
          <w:b/>
        </w:rPr>
      </w:pPr>
      <w:r>
        <w:rPr>
          <w:b/>
        </w:rPr>
        <w:object w:dxaOrig="1551" w:dyaOrig="1004">
          <v:shape id="_x0000_i1027" type="#_x0000_t75" style="width:77.85pt;height:50.25pt" o:ole="">
            <v:imagedata r:id="rId25" o:title=""/>
          </v:shape>
          <o:OLEObject Type="Embed" ProgID="Excel.Sheet.12" ShapeID="_x0000_i1027" DrawAspect="Icon" ObjectID="_1596521947" r:id="rId26"/>
        </w:object>
      </w:r>
    </w:p>
    <w:p w:rsidR="004F3952" w:rsidRDefault="004F3952" w:rsidP="004F3952">
      <w:pPr>
        <w:spacing w:after="200" w:line="276" w:lineRule="auto"/>
        <w:jc w:val="left"/>
        <w:rPr>
          <w:b/>
        </w:rPr>
      </w:pPr>
      <w:r>
        <w:rPr>
          <w:b/>
        </w:rPr>
        <w:t>Appendix II:  Reserves Summary</w:t>
      </w:r>
      <w:r w:rsidR="00F94BF7">
        <w:rPr>
          <w:b/>
        </w:rPr>
        <w:t>:</w:t>
      </w:r>
    </w:p>
    <w:p w:rsidR="00070CEC" w:rsidRDefault="001B30DE" w:rsidP="004F3952">
      <w:pPr>
        <w:spacing w:after="200" w:line="276" w:lineRule="auto"/>
        <w:jc w:val="left"/>
        <w:rPr>
          <w:b/>
        </w:rPr>
      </w:pPr>
      <w:r>
        <w:rPr>
          <w:b/>
        </w:rPr>
        <w:object w:dxaOrig="1551" w:dyaOrig="1004">
          <v:shape id="_x0000_i1028" type="#_x0000_t75" style="width:77.85pt;height:50.25pt" o:ole="">
            <v:imagedata r:id="rId27" o:title=""/>
          </v:shape>
          <o:OLEObject Type="Embed" ProgID="Excel.Sheet.12" ShapeID="_x0000_i1028" DrawAspect="Icon" ObjectID="_1596521948" r:id="rId28"/>
        </w:object>
      </w:r>
    </w:p>
    <w:p w:rsidR="00F94BF7" w:rsidRDefault="00F94BF7" w:rsidP="004F3952">
      <w:pPr>
        <w:spacing w:after="200" w:line="276" w:lineRule="auto"/>
        <w:jc w:val="left"/>
        <w:rPr>
          <w:b/>
        </w:rPr>
      </w:pPr>
      <w:r>
        <w:rPr>
          <w:b/>
        </w:rPr>
        <w:t>Appendix I</w:t>
      </w:r>
      <w:r w:rsidR="003F1F59">
        <w:rPr>
          <w:b/>
        </w:rPr>
        <w:t>II</w:t>
      </w:r>
      <w:r>
        <w:rPr>
          <w:b/>
        </w:rPr>
        <w:t>: Summary Report Submitted to NHSI:</w:t>
      </w:r>
    </w:p>
    <w:p w:rsidR="00F94BF7" w:rsidRPr="0085412A" w:rsidRDefault="001B30DE" w:rsidP="004F3952">
      <w:pPr>
        <w:spacing w:after="200" w:line="276" w:lineRule="auto"/>
        <w:jc w:val="left"/>
        <w:rPr>
          <w:b/>
        </w:rPr>
      </w:pPr>
      <w:r>
        <w:rPr>
          <w:b/>
        </w:rPr>
        <w:object w:dxaOrig="1551" w:dyaOrig="1004">
          <v:shape id="_x0000_i1029" type="#_x0000_t75" style="width:77.85pt;height:50.25pt" o:ole="">
            <v:imagedata r:id="rId29" o:title=""/>
          </v:shape>
          <o:OLEObject Type="Embed" ProgID="PowerPoint.Show.12" ShapeID="_x0000_i1029" DrawAspect="Icon" ObjectID="_1596521949" r:id="rId30"/>
        </w:object>
      </w:r>
    </w:p>
    <w:sectPr w:rsidR="00F94BF7" w:rsidRPr="0085412A" w:rsidSect="008978F1">
      <w:headerReference w:type="default" r:id="rId31"/>
      <w:footerReference w:type="default" r:id="rId32"/>
      <w:pgSz w:w="11906" w:h="16838" w:code="9"/>
      <w:pgMar w:top="720" w:right="720" w:bottom="567"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696" w:rsidRDefault="00DD4696" w:rsidP="00C4588F">
      <w:r>
        <w:separator/>
      </w:r>
    </w:p>
  </w:endnote>
  <w:endnote w:type="continuationSeparator" w:id="0">
    <w:p w:rsidR="00DD4696" w:rsidRDefault="00DD4696" w:rsidP="00C4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96" w:rsidRDefault="00DD4696" w:rsidP="00C4588F">
    <w:pPr>
      <w:pStyle w:val="Footer"/>
      <w:tabs>
        <w:tab w:val="clear" w:pos="4513"/>
        <w:tab w:val="clear" w:pos="9026"/>
      </w:tabs>
      <w:rPr>
        <w:sz w:val="18"/>
        <w:szCs w:val="18"/>
      </w:rPr>
    </w:pPr>
    <w:r>
      <w:rPr>
        <w:sz w:val="18"/>
        <w:szCs w:val="18"/>
      </w:rPr>
      <w:t>_______________________________________________________________________________________________________</w:t>
    </w:r>
  </w:p>
  <w:p w:rsidR="00DD4696" w:rsidRPr="00C4588F" w:rsidRDefault="00DD4696" w:rsidP="00C4588F">
    <w:pPr>
      <w:pStyle w:val="Footer"/>
      <w:tabs>
        <w:tab w:val="clear" w:pos="4513"/>
        <w:tab w:val="clear" w:pos="9026"/>
      </w:tabs>
      <w:rPr>
        <w:sz w:val="18"/>
        <w:szCs w:val="18"/>
      </w:rPr>
    </w:pPr>
    <w:r w:rsidRPr="00C4588F">
      <w:rPr>
        <w:sz w:val="18"/>
        <w:szCs w:val="18"/>
      </w:rPr>
      <w:t xml:space="preserve">Finance Directorate, </w:t>
    </w:r>
    <w:r>
      <w:rPr>
        <w:sz w:val="18"/>
        <w:szCs w:val="18"/>
      </w:rPr>
      <w:t>August 2018</w:t>
    </w:r>
    <w:r>
      <w:rPr>
        <w:sz w:val="18"/>
        <w:szCs w:val="18"/>
      </w:rPr>
      <w:tab/>
    </w:r>
    <w:r w:rsidRPr="00C4588F">
      <w:rPr>
        <w:sz w:val="18"/>
        <w:szCs w:val="18"/>
      </w:rPr>
      <w:tab/>
    </w:r>
    <w:r w:rsidRPr="00C4588F">
      <w:rPr>
        <w:sz w:val="18"/>
        <w:szCs w:val="18"/>
      </w:rPr>
      <w:tab/>
    </w:r>
    <w:r w:rsidRPr="00C4588F">
      <w:rPr>
        <w:sz w:val="18"/>
        <w:szCs w:val="18"/>
      </w:rPr>
      <w:tab/>
    </w:r>
    <w:r w:rsidRPr="00C4588F">
      <w:rPr>
        <w:sz w:val="18"/>
        <w:szCs w:val="18"/>
      </w:rPr>
      <w:tab/>
    </w:r>
    <w:r w:rsidRPr="00C4588F">
      <w:rPr>
        <w:sz w:val="18"/>
        <w:szCs w:val="18"/>
      </w:rPr>
      <w:tab/>
    </w:r>
    <w:r w:rsidRPr="00C4588F">
      <w:rPr>
        <w:sz w:val="18"/>
        <w:szCs w:val="18"/>
      </w:rPr>
      <w:tab/>
    </w:r>
    <w:r>
      <w:rPr>
        <w:sz w:val="18"/>
        <w:szCs w:val="18"/>
      </w:rPr>
      <w:tab/>
      <w:t xml:space="preserve">             </w:t>
    </w:r>
    <w:r w:rsidRPr="00C4588F">
      <w:rPr>
        <w:sz w:val="18"/>
        <w:szCs w:val="18"/>
      </w:rPr>
      <w:t xml:space="preserve">Page </w:t>
    </w:r>
    <w:r w:rsidRPr="00C4588F">
      <w:rPr>
        <w:b/>
        <w:sz w:val="18"/>
        <w:szCs w:val="18"/>
      </w:rPr>
      <w:fldChar w:fldCharType="begin"/>
    </w:r>
    <w:r w:rsidRPr="00C4588F">
      <w:rPr>
        <w:b/>
        <w:sz w:val="18"/>
        <w:szCs w:val="18"/>
      </w:rPr>
      <w:instrText xml:space="preserve"> PAGE  \* Arabic  \* MERGEFORMAT </w:instrText>
    </w:r>
    <w:r w:rsidRPr="00C4588F">
      <w:rPr>
        <w:b/>
        <w:sz w:val="18"/>
        <w:szCs w:val="18"/>
      </w:rPr>
      <w:fldChar w:fldCharType="separate"/>
    </w:r>
    <w:r w:rsidR="00E42316">
      <w:rPr>
        <w:b/>
        <w:noProof/>
        <w:sz w:val="18"/>
        <w:szCs w:val="18"/>
      </w:rPr>
      <w:t>30</w:t>
    </w:r>
    <w:r w:rsidRPr="00C4588F">
      <w:rPr>
        <w:b/>
        <w:sz w:val="18"/>
        <w:szCs w:val="18"/>
      </w:rPr>
      <w:fldChar w:fldCharType="end"/>
    </w:r>
    <w:r w:rsidRPr="00C4588F">
      <w:rPr>
        <w:sz w:val="18"/>
        <w:szCs w:val="18"/>
      </w:rPr>
      <w:t xml:space="preserve"> of </w:t>
    </w:r>
    <w:r w:rsidRPr="00C4588F">
      <w:rPr>
        <w:b/>
        <w:sz w:val="18"/>
        <w:szCs w:val="18"/>
      </w:rPr>
      <w:fldChar w:fldCharType="begin"/>
    </w:r>
    <w:r w:rsidRPr="00C4588F">
      <w:rPr>
        <w:b/>
        <w:sz w:val="18"/>
        <w:szCs w:val="18"/>
      </w:rPr>
      <w:instrText xml:space="preserve"> NUMPAGES  \* Arabic  \* MERGEFORMAT </w:instrText>
    </w:r>
    <w:r w:rsidRPr="00C4588F">
      <w:rPr>
        <w:b/>
        <w:sz w:val="18"/>
        <w:szCs w:val="18"/>
      </w:rPr>
      <w:fldChar w:fldCharType="separate"/>
    </w:r>
    <w:r w:rsidR="00E42316">
      <w:rPr>
        <w:b/>
        <w:noProof/>
        <w:sz w:val="18"/>
        <w:szCs w:val="18"/>
      </w:rPr>
      <w:t>30</w:t>
    </w:r>
    <w:r w:rsidRPr="00C4588F">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696" w:rsidRDefault="00DD4696" w:rsidP="00C4588F">
      <w:r>
        <w:separator/>
      </w:r>
    </w:p>
  </w:footnote>
  <w:footnote w:type="continuationSeparator" w:id="0">
    <w:p w:rsidR="00DD4696" w:rsidRDefault="00DD4696" w:rsidP="00C45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96" w:rsidRDefault="00DD4696" w:rsidP="00C4588F">
    <w:pPr>
      <w:pStyle w:val="Header"/>
      <w:tabs>
        <w:tab w:val="clear" w:pos="4513"/>
        <w:tab w:val="clear" w:pos="9026"/>
      </w:tabs>
      <w:rPr>
        <w:sz w:val="18"/>
        <w:szCs w:val="18"/>
      </w:rPr>
    </w:pPr>
    <w:r w:rsidRPr="00C4588F">
      <w:rPr>
        <w:sz w:val="18"/>
        <w:szCs w:val="18"/>
      </w:rPr>
      <w:t>Northern Lincolnshire &amp; Goole NHS Foundation Trust</w:t>
    </w:r>
    <w:r>
      <w:rPr>
        <w:sz w:val="18"/>
        <w:szCs w:val="18"/>
      </w:rPr>
      <w:tab/>
    </w:r>
    <w:r w:rsidR="006C42AA">
      <w:rPr>
        <w:sz w:val="18"/>
        <w:szCs w:val="18"/>
      </w:rPr>
      <w:tab/>
    </w:r>
    <w:r w:rsidR="006C42AA">
      <w:rPr>
        <w:sz w:val="18"/>
        <w:szCs w:val="18"/>
      </w:rPr>
      <w:tab/>
    </w:r>
    <w:r w:rsidR="006C42AA">
      <w:rPr>
        <w:sz w:val="18"/>
        <w:szCs w:val="18"/>
      </w:rPr>
      <w:tab/>
    </w:r>
    <w:r w:rsidR="006C42AA">
      <w:rPr>
        <w:sz w:val="18"/>
        <w:szCs w:val="18"/>
      </w:rPr>
      <w:tab/>
    </w:r>
    <w:r w:rsidR="006C42AA">
      <w:rPr>
        <w:sz w:val="18"/>
        <w:szCs w:val="18"/>
      </w:rPr>
      <w:tab/>
    </w:r>
    <w:r w:rsidR="006C42AA">
      <w:rPr>
        <w:sz w:val="18"/>
        <w:szCs w:val="18"/>
      </w:rPr>
      <w:tab/>
    </w:r>
    <w:r w:rsidR="006C42AA">
      <w:rPr>
        <w:sz w:val="18"/>
        <w:szCs w:val="18"/>
      </w:rPr>
      <w:tab/>
    </w:r>
    <w:proofErr w:type="gramStart"/>
    <w:r w:rsidR="006C42AA">
      <w:rPr>
        <w:sz w:val="18"/>
        <w:szCs w:val="18"/>
      </w:rPr>
      <w:t>NLG(</w:t>
    </w:r>
    <w:proofErr w:type="gramEnd"/>
    <w:r w:rsidR="006C42AA">
      <w:rPr>
        <w:sz w:val="18"/>
        <w:szCs w:val="18"/>
      </w:rPr>
      <w:t>18)</w:t>
    </w:r>
    <w:r w:rsidR="00B1563F">
      <w:rPr>
        <w:sz w:val="18"/>
        <w:szCs w:val="18"/>
      </w:rPr>
      <w:t>307</w:t>
    </w:r>
  </w:p>
  <w:p w:rsidR="00DD4696" w:rsidRDefault="00DD4696" w:rsidP="00C4588F">
    <w:pPr>
      <w:pStyle w:val="Header"/>
      <w:tabs>
        <w:tab w:val="clear" w:pos="4513"/>
        <w:tab w:val="clear" w:pos="9026"/>
      </w:tabs>
      <w:rPr>
        <w:sz w:val="18"/>
        <w:szCs w:val="18"/>
      </w:rPr>
    </w:pPr>
    <w:r>
      <w:rPr>
        <w:sz w:val="18"/>
        <w:szCs w:val="18"/>
      </w:rPr>
      <w:t>_______________________________________________________________________________________________________</w:t>
    </w:r>
  </w:p>
  <w:p w:rsidR="00DD4696" w:rsidRDefault="00DD4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C3B"/>
    <w:multiLevelType w:val="hybridMultilevel"/>
    <w:tmpl w:val="AC9A27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E4011E"/>
    <w:multiLevelType w:val="hybridMultilevel"/>
    <w:tmpl w:val="FC5C1F36"/>
    <w:lvl w:ilvl="0" w:tplc="508C71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42525E"/>
    <w:multiLevelType w:val="hybridMultilevel"/>
    <w:tmpl w:val="C72683F0"/>
    <w:lvl w:ilvl="0" w:tplc="77C2F41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63FFC"/>
    <w:multiLevelType w:val="hybridMultilevel"/>
    <w:tmpl w:val="1ECAA1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EB21EC"/>
    <w:multiLevelType w:val="hybridMultilevel"/>
    <w:tmpl w:val="F4B2E05A"/>
    <w:lvl w:ilvl="0" w:tplc="17C061A2">
      <w:start w:val="705"/>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ABF0083"/>
    <w:multiLevelType w:val="hybridMultilevel"/>
    <w:tmpl w:val="4738B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A863B4"/>
    <w:multiLevelType w:val="hybridMultilevel"/>
    <w:tmpl w:val="236A2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5016E2"/>
    <w:multiLevelType w:val="hybridMultilevel"/>
    <w:tmpl w:val="2A8A6F3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16B55AEC"/>
    <w:multiLevelType w:val="hybridMultilevel"/>
    <w:tmpl w:val="6F7A163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183C5D09"/>
    <w:multiLevelType w:val="hybridMultilevel"/>
    <w:tmpl w:val="4E42B2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A52409"/>
    <w:multiLevelType w:val="hybridMultilevel"/>
    <w:tmpl w:val="2D54702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E945433"/>
    <w:multiLevelType w:val="hybridMultilevel"/>
    <w:tmpl w:val="5E4E2A60"/>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493BE6"/>
    <w:multiLevelType w:val="hybridMultilevel"/>
    <w:tmpl w:val="21F886E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A9D0B28"/>
    <w:multiLevelType w:val="hybridMultilevel"/>
    <w:tmpl w:val="2B1C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DE30B7F"/>
    <w:multiLevelType w:val="hybridMultilevel"/>
    <w:tmpl w:val="C338B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93649D"/>
    <w:multiLevelType w:val="hybridMultilevel"/>
    <w:tmpl w:val="6F7A163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0A4428C"/>
    <w:multiLevelType w:val="hybridMultilevel"/>
    <w:tmpl w:val="3FDAEEE8"/>
    <w:lvl w:ilvl="0" w:tplc="884A06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2337BDE"/>
    <w:multiLevelType w:val="hybridMultilevel"/>
    <w:tmpl w:val="A6D6E7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B43DF3"/>
    <w:multiLevelType w:val="hybridMultilevel"/>
    <w:tmpl w:val="C23C1A50"/>
    <w:lvl w:ilvl="0" w:tplc="174E5D60">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E26681A"/>
    <w:multiLevelType w:val="hybridMultilevel"/>
    <w:tmpl w:val="37FC35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257152"/>
    <w:multiLevelType w:val="hybridMultilevel"/>
    <w:tmpl w:val="E4F07E12"/>
    <w:lvl w:ilvl="0" w:tplc="DB004CBC">
      <w:start w:val="1"/>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5707C6"/>
    <w:multiLevelType w:val="hybridMultilevel"/>
    <w:tmpl w:val="6F7A163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4AA56FDA"/>
    <w:multiLevelType w:val="hybridMultilevel"/>
    <w:tmpl w:val="110C6F56"/>
    <w:lvl w:ilvl="0" w:tplc="757230E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985B1E"/>
    <w:multiLevelType w:val="hybridMultilevel"/>
    <w:tmpl w:val="4F26D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662ADF"/>
    <w:multiLevelType w:val="hybridMultilevel"/>
    <w:tmpl w:val="B31A7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E47512"/>
    <w:multiLevelType w:val="hybridMultilevel"/>
    <w:tmpl w:val="E0B2C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D5A0B9B"/>
    <w:multiLevelType w:val="hybridMultilevel"/>
    <w:tmpl w:val="474EEF68"/>
    <w:lvl w:ilvl="0" w:tplc="46A0CF82">
      <w:start w:val="3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815962"/>
    <w:multiLevelType w:val="hybridMultilevel"/>
    <w:tmpl w:val="D8A0F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DF847E9"/>
    <w:multiLevelType w:val="hybridMultilevel"/>
    <w:tmpl w:val="899C8A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FE1DB8"/>
    <w:multiLevelType w:val="hybridMultilevel"/>
    <w:tmpl w:val="08E21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AA77F8"/>
    <w:multiLevelType w:val="hybridMultilevel"/>
    <w:tmpl w:val="046CFF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C00232"/>
    <w:multiLevelType w:val="hybridMultilevel"/>
    <w:tmpl w:val="20AA78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BF155E"/>
    <w:multiLevelType w:val="hybridMultilevel"/>
    <w:tmpl w:val="097AE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751DA0"/>
    <w:multiLevelType w:val="hybridMultilevel"/>
    <w:tmpl w:val="F1AA9DB4"/>
    <w:lvl w:ilvl="0" w:tplc="33FEE47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801260"/>
    <w:multiLevelType w:val="hybridMultilevel"/>
    <w:tmpl w:val="5C20B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A75184"/>
    <w:multiLevelType w:val="hybridMultilevel"/>
    <w:tmpl w:val="12801DAE"/>
    <w:lvl w:ilvl="0" w:tplc="FFC02E26">
      <w:start w:val="1"/>
      <w:numFmt w:val="decimal"/>
      <w:lvlText w:val="%1."/>
      <w:lvlJc w:val="left"/>
      <w:pPr>
        <w:tabs>
          <w:tab w:val="num" w:pos="720"/>
        </w:tabs>
        <w:ind w:left="720" w:hanging="360"/>
      </w:pPr>
    </w:lvl>
    <w:lvl w:ilvl="1" w:tplc="B1208FE2">
      <w:start w:val="1"/>
      <w:numFmt w:val="lowerLetter"/>
      <w:lvlText w:val="%2."/>
      <w:lvlJc w:val="left"/>
      <w:pPr>
        <w:tabs>
          <w:tab w:val="num" w:pos="1440"/>
        </w:tabs>
        <w:ind w:left="1440" w:hanging="360"/>
      </w:pPr>
    </w:lvl>
    <w:lvl w:ilvl="2" w:tplc="632647E4">
      <w:start w:val="2367"/>
      <w:numFmt w:val="bullet"/>
      <w:lvlText w:val="-"/>
      <w:lvlJc w:val="left"/>
      <w:pPr>
        <w:tabs>
          <w:tab w:val="num" w:pos="2160"/>
        </w:tabs>
        <w:ind w:left="2160" w:hanging="360"/>
      </w:pPr>
      <w:rPr>
        <w:rFonts w:ascii="Times New Roman" w:hAnsi="Times New Roman" w:hint="default"/>
      </w:rPr>
    </w:lvl>
    <w:lvl w:ilvl="3" w:tplc="66681336" w:tentative="1">
      <w:start w:val="1"/>
      <w:numFmt w:val="decimal"/>
      <w:lvlText w:val="%4."/>
      <w:lvlJc w:val="left"/>
      <w:pPr>
        <w:tabs>
          <w:tab w:val="num" w:pos="2880"/>
        </w:tabs>
        <w:ind w:left="2880" w:hanging="360"/>
      </w:pPr>
    </w:lvl>
    <w:lvl w:ilvl="4" w:tplc="6E1EFED8" w:tentative="1">
      <w:start w:val="1"/>
      <w:numFmt w:val="decimal"/>
      <w:lvlText w:val="%5."/>
      <w:lvlJc w:val="left"/>
      <w:pPr>
        <w:tabs>
          <w:tab w:val="num" w:pos="3600"/>
        </w:tabs>
        <w:ind w:left="3600" w:hanging="360"/>
      </w:pPr>
    </w:lvl>
    <w:lvl w:ilvl="5" w:tplc="2E20C918" w:tentative="1">
      <w:start w:val="1"/>
      <w:numFmt w:val="decimal"/>
      <w:lvlText w:val="%6."/>
      <w:lvlJc w:val="left"/>
      <w:pPr>
        <w:tabs>
          <w:tab w:val="num" w:pos="4320"/>
        </w:tabs>
        <w:ind w:left="4320" w:hanging="360"/>
      </w:pPr>
    </w:lvl>
    <w:lvl w:ilvl="6" w:tplc="566C0618" w:tentative="1">
      <w:start w:val="1"/>
      <w:numFmt w:val="decimal"/>
      <w:lvlText w:val="%7."/>
      <w:lvlJc w:val="left"/>
      <w:pPr>
        <w:tabs>
          <w:tab w:val="num" w:pos="5040"/>
        </w:tabs>
        <w:ind w:left="5040" w:hanging="360"/>
      </w:pPr>
    </w:lvl>
    <w:lvl w:ilvl="7" w:tplc="00DA0500" w:tentative="1">
      <w:start w:val="1"/>
      <w:numFmt w:val="decimal"/>
      <w:lvlText w:val="%8."/>
      <w:lvlJc w:val="left"/>
      <w:pPr>
        <w:tabs>
          <w:tab w:val="num" w:pos="5760"/>
        </w:tabs>
        <w:ind w:left="5760" w:hanging="360"/>
      </w:pPr>
    </w:lvl>
    <w:lvl w:ilvl="8" w:tplc="0C8E15A2" w:tentative="1">
      <w:start w:val="1"/>
      <w:numFmt w:val="decimal"/>
      <w:lvlText w:val="%9."/>
      <w:lvlJc w:val="left"/>
      <w:pPr>
        <w:tabs>
          <w:tab w:val="num" w:pos="6480"/>
        </w:tabs>
        <w:ind w:left="6480" w:hanging="360"/>
      </w:pPr>
    </w:lvl>
  </w:abstractNum>
  <w:abstractNum w:abstractNumId="36">
    <w:nsid w:val="76711CD5"/>
    <w:multiLevelType w:val="hybridMultilevel"/>
    <w:tmpl w:val="B39630AE"/>
    <w:lvl w:ilvl="0" w:tplc="16540816">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5"/>
  </w:num>
  <w:num w:numId="4">
    <w:abstractNumId w:val="16"/>
  </w:num>
  <w:num w:numId="5">
    <w:abstractNumId w:val="30"/>
  </w:num>
  <w:num w:numId="6">
    <w:abstractNumId w:val="33"/>
  </w:num>
  <w:num w:numId="7">
    <w:abstractNumId w:val="9"/>
  </w:num>
  <w:num w:numId="8">
    <w:abstractNumId w:val="13"/>
  </w:num>
  <w:num w:numId="9">
    <w:abstractNumId w:val="25"/>
  </w:num>
  <w:num w:numId="10">
    <w:abstractNumId w:val="19"/>
  </w:num>
  <w:num w:numId="11">
    <w:abstractNumId w:val="2"/>
  </w:num>
  <w:num w:numId="12">
    <w:abstractNumId w:val="0"/>
  </w:num>
  <w:num w:numId="13">
    <w:abstractNumId w:val="32"/>
  </w:num>
  <w:num w:numId="14">
    <w:abstractNumId w:val="31"/>
  </w:num>
  <w:num w:numId="15">
    <w:abstractNumId w:val="35"/>
  </w:num>
  <w:num w:numId="16">
    <w:abstractNumId w:val="14"/>
  </w:num>
  <w:num w:numId="17">
    <w:abstractNumId w:val="34"/>
  </w:num>
  <w:num w:numId="18">
    <w:abstractNumId w:val="24"/>
  </w:num>
  <w:num w:numId="19">
    <w:abstractNumId w:val="17"/>
  </w:num>
  <w:num w:numId="20">
    <w:abstractNumId w:val="6"/>
  </w:num>
  <w:num w:numId="21">
    <w:abstractNumId w:val="21"/>
  </w:num>
  <w:num w:numId="22">
    <w:abstractNumId w:val="8"/>
  </w:num>
  <w:num w:numId="23">
    <w:abstractNumId w:val="15"/>
  </w:num>
  <w:num w:numId="24">
    <w:abstractNumId w:val="10"/>
  </w:num>
  <w:num w:numId="25">
    <w:abstractNumId w:val="1"/>
  </w:num>
  <w:num w:numId="26">
    <w:abstractNumId w:val="3"/>
  </w:num>
  <w:num w:numId="27">
    <w:abstractNumId w:val="22"/>
  </w:num>
  <w:num w:numId="28">
    <w:abstractNumId w:val="20"/>
  </w:num>
  <w:num w:numId="29">
    <w:abstractNumId w:val="29"/>
  </w:num>
  <w:num w:numId="30">
    <w:abstractNumId w:val="4"/>
  </w:num>
  <w:num w:numId="31">
    <w:abstractNumId w:val="26"/>
  </w:num>
  <w:num w:numId="32">
    <w:abstractNumId w:val="23"/>
  </w:num>
  <w:num w:numId="33">
    <w:abstractNumId w:val="27"/>
  </w:num>
  <w:num w:numId="34">
    <w:abstractNumId w:val="28"/>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AE9"/>
    <w:rsid w:val="00002417"/>
    <w:rsid w:val="0000387D"/>
    <w:rsid w:val="000062BF"/>
    <w:rsid w:val="00007B60"/>
    <w:rsid w:val="00007D67"/>
    <w:rsid w:val="0001090F"/>
    <w:rsid w:val="000110A2"/>
    <w:rsid w:val="0001117E"/>
    <w:rsid w:val="000137B6"/>
    <w:rsid w:val="00014C9F"/>
    <w:rsid w:val="00016091"/>
    <w:rsid w:val="00016A6C"/>
    <w:rsid w:val="00020622"/>
    <w:rsid w:val="00021AF9"/>
    <w:rsid w:val="00024CF4"/>
    <w:rsid w:val="00025362"/>
    <w:rsid w:val="00025453"/>
    <w:rsid w:val="00025CAC"/>
    <w:rsid w:val="00025FA6"/>
    <w:rsid w:val="00026DC6"/>
    <w:rsid w:val="00027871"/>
    <w:rsid w:val="00027E4F"/>
    <w:rsid w:val="00031431"/>
    <w:rsid w:val="00031DE3"/>
    <w:rsid w:val="000328AD"/>
    <w:rsid w:val="000341BF"/>
    <w:rsid w:val="000363CB"/>
    <w:rsid w:val="000369EE"/>
    <w:rsid w:val="00041D4D"/>
    <w:rsid w:val="00041F65"/>
    <w:rsid w:val="00042608"/>
    <w:rsid w:val="00042C21"/>
    <w:rsid w:val="00044A12"/>
    <w:rsid w:val="00044AD9"/>
    <w:rsid w:val="00045FC4"/>
    <w:rsid w:val="000465C7"/>
    <w:rsid w:val="00051705"/>
    <w:rsid w:val="00051840"/>
    <w:rsid w:val="0005246D"/>
    <w:rsid w:val="00052D78"/>
    <w:rsid w:val="000536CE"/>
    <w:rsid w:val="00055688"/>
    <w:rsid w:val="00055998"/>
    <w:rsid w:val="00055AF2"/>
    <w:rsid w:val="000577ED"/>
    <w:rsid w:val="000607E9"/>
    <w:rsid w:val="00063677"/>
    <w:rsid w:val="00063C61"/>
    <w:rsid w:val="00063E32"/>
    <w:rsid w:val="000642C3"/>
    <w:rsid w:val="00065FAB"/>
    <w:rsid w:val="00066A96"/>
    <w:rsid w:val="00067F37"/>
    <w:rsid w:val="00070757"/>
    <w:rsid w:val="00070CEC"/>
    <w:rsid w:val="00071486"/>
    <w:rsid w:val="000717A9"/>
    <w:rsid w:val="000724ED"/>
    <w:rsid w:val="000730AB"/>
    <w:rsid w:val="000739C3"/>
    <w:rsid w:val="00073E4F"/>
    <w:rsid w:val="0007548B"/>
    <w:rsid w:val="000757BE"/>
    <w:rsid w:val="0007777A"/>
    <w:rsid w:val="00082661"/>
    <w:rsid w:val="00083217"/>
    <w:rsid w:val="0008396E"/>
    <w:rsid w:val="00084E2B"/>
    <w:rsid w:val="00085480"/>
    <w:rsid w:val="00087CFF"/>
    <w:rsid w:val="00091A6E"/>
    <w:rsid w:val="00091EC2"/>
    <w:rsid w:val="00093036"/>
    <w:rsid w:val="00093650"/>
    <w:rsid w:val="00093712"/>
    <w:rsid w:val="000A1B58"/>
    <w:rsid w:val="000A2B60"/>
    <w:rsid w:val="000A3423"/>
    <w:rsid w:val="000A6720"/>
    <w:rsid w:val="000A76EB"/>
    <w:rsid w:val="000B31DA"/>
    <w:rsid w:val="000B4451"/>
    <w:rsid w:val="000B51EA"/>
    <w:rsid w:val="000C1A4C"/>
    <w:rsid w:val="000C3FD0"/>
    <w:rsid w:val="000C59E4"/>
    <w:rsid w:val="000D005E"/>
    <w:rsid w:val="000D08BF"/>
    <w:rsid w:val="000D09F4"/>
    <w:rsid w:val="000D1A4B"/>
    <w:rsid w:val="000D1CB4"/>
    <w:rsid w:val="000D2B5D"/>
    <w:rsid w:val="000D3809"/>
    <w:rsid w:val="000D4BC4"/>
    <w:rsid w:val="000D5DD0"/>
    <w:rsid w:val="000E01F2"/>
    <w:rsid w:val="000E08C0"/>
    <w:rsid w:val="000E1596"/>
    <w:rsid w:val="000E2E38"/>
    <w:rsid w:val="000E3E31"/>
    <w:rsid w:val="000E4592"/>
    <w:rsid w:val="000E5F1F"/>
    <w:rsid w:val="000E6949"/>
    <w:rsid w:val="000E704D"/>
    <w:rsid w:val="000E7B45"/>
    <w:rsid w:val="000F1B11"/>
    <w:rsid w:val="000F1CB9"/>
    <w:rsid w:val="000F2115"/>
    <w:rsid w:val="000F47A3"/>
    <w:rsid w:val="000F59E4"/>
    <w:rsid w:val="000F66AC"/>
    <w:rsid w:val="000F6B4E"/>
    <w:rsid w:val="000F7E29"/>
    <w:rsid w:val="00101193"/>
    <w:rsid w:val="001014C0"/>
    <w:rsid w:val="00101917"/>
    <w:rsid w:val="001034DD"/>
    <w:rsid w:val="0010580F"/>
    <w:rsid w:val="00110FDF"/>
    <w:rsid w:val="00113577"/>
    <w:rsid w:val="00113DD8"/>
    <w:rsid w:val="001144EA"/>
    <w:rsid w:val="001163A3"/>
    <w:rsid w:val="001208E4"/>
    <w:rsid w:val="00121169"/>
    <w:rsid w:val="001227D8"/>
    <w:rsid w:val="001251E8"/>
    <w:rsid w:val="00125EFE"/>
    <w:rsid w:val="00126FF5"/>
    <w:rsid w:val="00127D97"/>
    <w:rsid w:val="00130117"/>
    <w:rsid w:val="00130F19"/>
    <w:rsid w:val="00131CBD"/>
    <w:rsid w:val="00131CE1"/>
    <w:rsid w:val="00132831"/>
    <w:rsid w:val="00132D92"/>
    <w:rsid w:val="00134616"/>
    <w:rsid w:val="00136052"/>
    <w:rsid w:val="00136114"/>
    <w:rsid w:val="00136D70"/>
    <w:rsid w:val="00136E17"/>
    <w:rsid w:val="00136F18"/>
    <w:rsid w:val="0013799C"/>
    <w:rsid w:val="00137BBA"/>
    <w:rsid w:val="0014326E"/>
    <w:rsid w:val="00144ADE"/>
    <w:rsid w:val="0014678F"/>
    <w:rsid w:val="00147246"/>
    <w:rsid w:val="00147DDE"/>
    <w:rsid w:val="00162413"/>
    <w:rsid w:val="00162947"/>
    <w:rsid w:val="00163502"/>
    <w:rsid w:val="00163FD9"/>
    <w:rsid w:val="00164728"/>
    <w:rsid w:val="00165428"/>
    <w:rsid w:val="00167994"/>
    <w:rsid w:val="001716C2"/>
    <w:rsid w:val="0017213D"/>
    <w:rsid w:val="00172A40"/>
    <w:rsid w:val="00173F0F"/>
    <w:rsid w:val="00173F71"/>
    <w:rsid w:val="001748BB"/>
    <w:rsid w:val="001751E7"/>
    <w:rsid w:val="0017739D"/>
    <w:rsid w:val="0017765B"/>
    <w:rsid w:val="00181120"/>
    <w:rsid w:val="00183A35"/>
    <w:rsid w:val="001851AD"/>
    <w:rsid w:val="00186128"/>
    <w:rsid w:val="0019054F"/>
    <w:rsid w:val="00191008"/>
    <w:rsid w:val="00192651"/>
    <w:rsid w:val="00193115"/>
    <w:rsid w:val="00194215"/>
    <w:rsid w:val="00194D85"/>
    <w:rsid w:val="00196B53"/>
    <w:rsid w:val="00196E90"/>
    <w:rsid w:val="001A0243"/>
    <w:rsid w:val="001A0A0D"/>
    <w:rsid w:val="001A24F3"/>
    <w:rsid w:val="001A2F20"/>
    <w:rsid w:val="001A38E0"/>
    <w:rsid w:val="001A57E9"/>
    <w:rsid w:val="001A6456"/>
    <w:rsid w:val="001A7573"/>
    <w:rsid w:val="001A75FB"/>
    <w:rsid w:val="001A7937"/>
    <w:rsid w:val="001A7AA6"/>
    <w:rsid w:val="001B08B2"/>
    <w:rsid w:val="001B09DA"/>
    <w:rsid w:val="001B25F0"/>
    <w:rsid w:val="001B299A"/>
    <w:rsid w:val="001B30DE"/>
    <w:rsid w:val="001B458E"/>
    <w:rsid w:val="001B4B51"/>
    <w:rsid w:val="001B6834"/>
    <w:rsid w:val="001B701A"/>
    <w:rsid w:val="001B7295"/>
    <w:rsid w:val="001C0FFA"/>
    <w:rsid w:val="001C3E5F"/>
    <w:rsid w:val="001C42AD"/>
    <w:rsid w:val="001C59DE"/>
    <w:rsid w:val="001C6EBD"/>
    <w:rsid w:val="001D00B4"/>
    <w:rsid w:val="001D09BA"/>
    <w:rsid w:val="001D5C9C"/>
    <w:rsid w:val="001D5D05"/>
    <w:rsid w:val="001D6A33"/>
    <w:rsid w:val="001D73EE"/>
    <w:rsid w:val="001E0414"/>
    <w:rsid w:val="001E0C29"/>
    <w:rsid w:val="001E17D9"/>
    <w:rsid w:val="001E30E8"/>
    <w:rsid w:val="001E565F"/>
    <w:rsid w:val="001E575F"/>
    <w:rsid w:val="001E58F2"/>
    <w:rsid w:val="001E7EB6"/>
    <w:rsid w:val="001F0999"/>
    <w:rsid w:val="001F10F7"/>
    <w:rsid w:val="001F2097"/>
    <w:rsid w:val="001F20FF"/>
    <w:rsid w:val="001F2429"/>
    <w:rsid w:val="001F3499"/>
    <w:rsid w:val="001F54CA"/>
    <w:rsid w:val="001F7B19"/>
    <w:rsid w:val="00200495"/>
    <w:rsid w:val="00200EF1"/>
    <w:rsid w:val="002013D7"/>
    <w:rsid w:val="00201FA1"/>
    <w:rsid w:val="002022C5"/>
    <w:rsid w:val="00205A4A"/>
    <w:rsid w:val="00205D5B"/>
    <w:rsid w:val="00206556"/>
    <w:rsid w:val="0020777E"/>
    <w:rsid w:val="002104A4"/>
    <w:rsid w:val="002115D2"/>
    <w:rsid w:val="002125C5"/>
    <w:rsid w:val="00212637"/>
    <w:rsid w:val="002127CA"/>
    <w:rsid w:val="002129EF"/>
    <w:rsid w:val="00213F29"/>
    <w:rsid w:val="002152A9"/>
    <w:rsid w:val="00215E46"/>
    <w:rsid w:val="00215F43"/>
    <w:rsid w:val="00215FEF"/>
    <w:rsid w:val="00216EF6"/>
    <w:rsid w:val="00221ACA"/>
    <w:rsid w:val="00222B73"/>
    <w:rsid w:val="002238BF"/>
    <w:rsid w:val="00225226"/>
    <w:rsid w:val="00226B0D"/>
    <w:rsid w:val="00231EE9"/>
    <w:rsid w:val="0023459D"/>
    <w:rsid w:val="002348CC"/>
    <w:rsid w:val="00235129"/>
    <w:rsid w:val="002353C8"/>
    <w:rsid w:val="002415FC"/>
    <w:rsid w:val="00242E68"/>
    <w:rsid w:val="002430A1"/>
    <w:rsid w:val="00245926"/>
    <w:rsid w:val="0024644A"/>
    <w:rsid w:val="00246CC7"/>
    <w:rsid w:val="00246F82"/>
    <w:rsid w:val="00250DE6"/>
    <w:rsid w:val="00251012"/>
    <w:rsid w:val="00251657"/>
    <w:rsid w:val="00255A90"/>
    <w:rsid w:val="00257E3A"/>
    <w:rsid w:val="002606AD"/>
    <w:rsid w:val="0026185C"/>
    <w:rsid w:val="002627D7"/>
    <w:rsid w:val="00263749"/>
    <w:rsid w:val="00264A25"/>
    <w:rsid w:val="002660E5"/>
    <w:rsid w:val="00266135"/>
    <w:rsid w:val="002668AF"/>
    <w:rsid w:val="00266E4B"/>
    <w:rsid w:val="002676B6"/>
    <w:rsid w:val="002744BA"/>
    <w:rsid w:val="002748E7"/>
    <w:rsid w:val="00275C09"/>
    <w:rsid w:val="00281625"/>
    <w:rsid w:val="0028556B"/>
    <w:rsid w:val="00285F22"/>
    <w:rsid w:val="0028646D"/>
    <w:rsid w:val="0028654B"/>
    <w:rsid w:val="00287ACA"/>
    <w:rsid w:val="002900B6"/>
    <w:rsid w:val="00290780"/>
    <w:rsid w:val="00291525"/>
    <w:rsid w:val="002919E3"/>
    <w:rsid w:val="00291EED"/>
    <w:rsid w:val="002936A8"/>
    <w:rsid w:val="00295D80"/>
    <w:rsid w:val="00296070"/>
    <w:rsid w:val="00296191"/>
    <w:rsid w:val="002A341E"/>
    <w:rsid w:val="002A4E0F"/>
    <w:rsid w:val="002A576C"/>
    <w:rsid w:val="002A6324"/>
    <w:rsid w:val="002B15FA"/>
    <w:rsid w:val="002B3417"/>
    <w:rsid w:val="002B38C6"/>
    <w:rsid w:val="002B3E3B"/>
    <w:rsid w:val="002B4D03"/>
    <w:rsid w:val="002C03E3"/>
    <w:rsid w:val="002C064D"/>
    <w:rsid w:val="002C07C1"/>
    <w:rsid w:val="002C0C4D"/>
    <w:rsid w:val="002C22F2"/>
    <w:rsid w:val="002C28BE"/>
    <w:rsid w:val="002C3550"/>
    <w:rsid w:val="002C423B"/>
    <w:rsid w:val="002C4D75"/>
    <w:rsid w:val="002C6958"/>
    <w:rsid w:val="002D00CA"/>
    <w:rsid w:val="002D1AAB"/>
    <w:rsid w:val="002D21EF"/>
    <w:rsid w:val="002D3731"/>
    <w:rsid w:val="002D4B89"/>
    <w:rsid w:val="002D4DE9"/>
    <w:rsid w:val="002D4E77"/>
    <w:rsid w:val="002D5315"/>
    <w:rsid w:val="002D613D"/>
    <w:rsid w:val="002E0111"/>
    <w:rsid w:val="002E11DA"/>
    <w:rsid w:val="002E12E4"/>
    <w:rsid w:val="002E2B7C"/>
    <w:rsid w:val="002E60E4"/>
    <w:rsid w:val="002E6961"/>
    <w:rsid w:val="002F0F56"/>
    <w:rsid w:val="002F139A"/>
    <w:rsid w:val="002F1EB3"/>
    <w:rsid w:val="002F28B1"/>
    <w:rsid w:val="002F322B"/>
    <w:rsid w:val="002F3397"/>
    <w:rsid w:val="002F39FF"/>
    <w:rsid w:val="002F4B66"/>
    <w:rsid w:val="0030194E"/>
    <w:rsid w:val="003027CA"/>
    <w:rsid w:val="00303116"/>
    <w:rsid w:val="003050EE"/>
    <w:rsid w:val="00306021"/>
    <w:rsid w:val="00307483"/>
    <w:rsid w:val="00307DC6"/>
    <w:rsid w:val="0031300C"/>
    <w:rsid w:val="00314BFE"/>
    <w:rsid w:val="00314C64"/>
    <w:rsid w:val="00317177"/>
    <w:rsid w:val="00317FD6"/>
    <w:rsid w:val="003209AD"/>
    <w:rsid w:val="00320DA6"/>
    <w:rsid w:val="00320F4A"/>
    <w:rsid w:val="003212DA"/>
    <w:rsid w:val="003214A9"/>
    <w:rsid w:val="00321731"/>
    <w:rsid w:val="00321F27"/>
    <w:rsid w:val="003239C6"/>
    <w:rsid w:val="00325F69"/>
    <w:rsid w:val="0033102B"/>
    <w:rsid w:val="003326A2"/>
    <w:rsid w:val="00332918"/>
    <w:rsid w:val="0033399D"/>
    <w:rsid w:val="00333A7A"/>
    <w:rsid w:val="003354A5"/>
    <w:rsid w:val="003357AF"/>
    <w:rsid w:val="00335ADE"/>
    <w:rsid w:val="00336740"/>
    <w:rsid w:val="00337328"/>
    <w:rsid w:val="0033771E"/>
    <w:rsid w:val="00343B47"/>
    <w:rsid w:val="00345580"/>
    <w:rsid w:val="00345BF5"/>
    <w:rsid w:val="003474C9"/>
    <w:rsid w:val="00350074"/>
    <w:rsid w:val="00350842"/>
    <w:rsid w:val="00352821"/>
    <w:rsid w:val="00361873"/>
    <w:rsid w:val="00365040"/>
    <w:rsid w:val="00365BE4"/>
    <w:rsid w:val="003666E1"/>
    <w:rsid w:val="0036680E"/>
    <w:rsid w:val="00366F1E"/>
    <w:rsid w:val="0037080D"/>
    <w:rsid w:val="003710A9"/>
    <w:rsid w:val="003715BD"/>
    <w:rsid w:val="00371766"/>
    <w:rsid w:val="00372713"/>
    <w:rsid w:val="00374571"/>
    <w:rsid w:val="003762EB"/>
    <w:rsid w:val="00376BEA"/>
    <w:rsid w:val="0038106E"/>
    <w:rsid w:val="00382E48"/>
    <w:rsid w:val="00383613"/>
    <w:rsid w:val="00385CB9"/>
    <w:rsid w:val="00386044"/>
    <w:rsid w:val="00393A3C"/>
    <w:rsid w:val="003944A4"/>
    <w:rsid w:val="00395441"/>
    <w:rsid w:val="003955E9"/>
    <w:rsid w:val="00396FCC"/>
    <w:rsid w:val="003A00FB"/>
    <w:rsid w:val="003A088B"/>
    <w:rsid w:val="003A1649"/>
    <w:rsid w:val="003A1918"/>
    <w:rsid w:val="003A23AA"/>
    <w:rsid w:val="003A3845"/>
    <w:rsid w:val="003A5F70"/>
    <w:rsid w:val="003A6778"/>
    <w:rsid w:val="003B25AA"/>
    <w:rsid w:val="003B26D9"/>
    <w:rsid w:val="003B3007"/>
    <w:rsid w:val="003B3DF3"/>
    <w:rsid w:val="003B4D5A"/>
    <w:rsid w:val="003B5EE0"/>
    <w:rsid w:val="003C38DA"/>
    <w:rsid w:val="003C42B3"/>
    <w:rsid w:val="003C4D04"/>
    <w:rsid w:val="003C6510"/>
    <w:rsid w:val="003C742F"/>
    <w:rsid w:val="003D0020"/>
    <w:rsid w:val="003D1A0B"/>
    <w:rsid w:val="003D2BC3"/>
    <w:rsid w:val="003D5E70"/>
    <w:rsid w:val="003D6496"/>
    <w:rsid w:val="003D6EE5"/>
    <w:rsid w:val="003D6F2F"/>
    <w:rsid w:val="003D77A7"/>
    <w:rsid w:val="003E1A22"/>
    <w:rsid w:val="003E3E3F"/>
    <w:rsid w:val="003E5C7C"/>
    <w:rsid w:val="003E6097"/>
    <w:rsid w:val="003F0BE1"/>
    <w:rsid w:val="003F130B"/>
    <w:rsid w:val="003F1F59"/>
    <w:rsid w:val="003F22C5"/>
    <w:rsid w:val="003F2A3F"/>
    <w:rsid w:val="003F2B1D"/>
    <w:rsid w:val="003F3178"/>
    <w:rsid w:val="003F3ABB"/>
    <w:rsid w:val="003F4936"/>
    <w:rsid w:val="003F4DD1"/>
    <w:rsid w:val="003F7750"/>
    <w:rsid w:val="00400A10"/>
    <w:rsid w:val="00401C13"/>
    <w:rsid w:val="00401CB7"/>
    <w:rsid w:val="004020FE"/>
    <w:rsid w:val="00402163"/>
    <w:rsid w:val="00402F04"/>
    <w:rsid w:val="004030D6"/>
    <w:rsid w:val="004042C7"/>
    <w:rsid w:val="004043E8"/>
    <w:rsid w:val="00405D35"/>
    <w:rsid w:val="00407890"/>
    <w:rsid w:val="00410638"/>
    <w:rsid w:val="00411E77"/>
    <w:rsid w:val="00412393"/>
    <w:rsid w:val="0041346F"/>
    <w:rsid w:val="00414A7C"/>
    <w:rsid w:val="00414EC9"/>
    <w:rsid w:val="00415083"/>
    <w:rsid w:val="00415365"/>
    <w:rsid w:val="00417FC9"/>
    <w:rsid w:val="0042286D"/>
    <w:rsid w:val="004232E8"/>
    <w:rsid w:val="00423695"/>
    <w:rsid w:val="0042513D"/>
    <w:rsid w:val="00426FA9"/>
    <w:rsid w:val="00431206"/>
    <w:rsid w:val="00433FE5"/>
    <w:rsid w:val="00437D90"/>
    <w:rsid w:val="00440858"/>
    <w:rsid w:val="00447286"/>
    <w:rsid w:val="00450F72"/>
    <w:rsid w:val="00451E37"/>
    <w:rsid w:val="00453DC0"/>
    <w:rsid w:val="00455482"/>
    <w:rsid w:val="00455555"/>
    <w:rsid w:val="0045664B"/>
    <w:rsid w:val="00457B47"/>
    <w:rsid w:val="00460537"/>
    <w:rsid w:val="004627ED"/>
    <w:rsid w:val="004628D1"/>
    <w:rsid w:val="004648D5"/>
    <w:rsid w:val="00465237"/>
    <w:rsid w:val="00465C19"/>
    <w:rsid w:val="00465C61"/>
    <w:rsid w:val="00467446"/>
    <w:rsid w:val="00470545"/>
    <w:rsid w:val="00472AFD"/>
    <w:rsid w:val="004835E4"/>
    <w:rsid w:val="00485964"/>
    <w:rsid w:val="00487851"/>
    <w:rsid w:val="0049009F"/>
    <w:rsid w:val="004903D2"/>
    <w:rsid w:val="00491CEC"/>
    <w:rsid w:val="00492735"/>
    <w:rsid w:val="004928D5"/>
    <w:rsid w:val="004955AD"/>
    <w:rsid w:val="004958E7"/>
    <w:rsid w:val="004965C6"/>
    <w:rsid w:val="004965F6"/>
    <w:rsid w:val="00496A10"/>
    <w:rsid w:val="00496C72"/>
    <w:rsid w:val="00497090"/>
    <w:rsid w:val="00497C33"/>
    <w:rsid w:val="00497CEF"/>
    <w:rsid w:val="004A01AE"/>
    <w:rsid w:val="004A23F3"/>
    <w:rsid w:val="004A29F8"/>
    <w:rsid w:val="004A35A5"/>
    <w:rsid w:val="004A521B"/>
    <w:rsid w:val="004A7F0B"/>
    <w:rsid w:val="004B1AB2"/>
    <w:rsid w:val="004B1F4C"/>
    <w:rsid w:val="004B2D9B"/>
    <w:rsid w:val="004B342A"/>
    <w:rsid w:val="004B39D9"/>
    <w:rsid w:val="004B4306"/>
    <w:rsid w:val="004B5E2E"/>
    <w:rsid w:val="004B6EB6"/>
    <w:rsid w:val="004C438F"/>
    <w:rsid w:val="004C53CE"/>
    <w:rsid w:val="004C6BF9"/>
    <w:rsid w:val="004C6ED7"/>
    <w:rsid w:val="004C6F49"/>
    <w:rsid w:val="004C7580"/>
    <w:rsid w:val="004D1592"/>
    <w:rsid w:val="004D16C5"/>
    <w:rsid w:val="004D2980"/>
    <w:rsid w:val="004D2EDF"/>
    <w:rsid w:val="004D35DD"/>
    <w:rsid w:val="004D4ED6"/>
    <w:rsid w:val="004D5F1E"/>
    <w:rsid w:val="004D66E9"/>
    <w:rsid w:val="004D793B"/>
    <w:rsid w:val="004E10B5"/>
    <w:rsid w:val="004E22AE"/>
    <w:rsid w:val="004F1AF9"/>
    <w:rsid w:val="004F2A17"/>
    <w:rsid w:val="004F3952"/>
    <w:rsid w:val="004F450A"/>
    <w:rsid w:val="004F4CCE"/>
    <w:rsid w:val="004F5F8D"/>
    <w:rsid w:val="004F6A6B"/>
    <w:rsid w:val="004F781E"/>
    <w:rsid w:val="00500EA9"/>
    <w:rsid w:val="005029A4"/>
    <w:rsid w:val="00503E74"/>
    <w:rsid w:val="0050442D"/>
    <w:rsid w:val="00505EB5"/>
    <w:rsid w:val="005079A8"/>
    <w:rsid w:val="00510B86"/>
    <w:rsid w:val="005110DF"/>
    <w:rsid w:val="005114CC"/>
    <w:rsid w:val="005124B4"/>
    <w:rsid w:val="00513426"/>
    <w:rsid w:val="00514023"/>
    <w:rsid w:val="005142DF"/>
    <w:rsid w:val="005208F3"/>
    <w:rsid w:val="00520E93"/>
    <w:rsid w:val="00521685"/>
    <w:rsid w:val="005222F4"/>
    <w:rsid w:val="00523F67"/>
    <w:rsid w:val="00525552"/>
    <w:rsid w:val="0052762C"/>
    <w:rsid w:val="00534938"/>
    <w:rsid w:val="0053534D"/>
    <w:rsid w:val="00536134"/>
    <w:rsid w:val="00536CDB"/>
    <w:rsid w:val="00537612"/>
    <w:rsid w:val="005401B4"/>
    <w:rsid w:val="005405D5"/>
    <w:rsid w:val="00540875"/>
    <w:rsid w:val="00542E9D"/>
    <w:rsid w:val="005443B7"/>
    <w:rsid w:val="005452D5"/>
    <w:rsid w:val="005460A8"/>
    <w:rsid w:val="0054756B"/>
    <w:rsid w:val="0055402A"/>
    <w:rsid w:val="00554CEA"/>
    <w:rsid w:val="00554D0F"/>
    <w:rsid w:val="005555AA"/>
    <w:rsid w:val="00555B2A"/>
    <w:rsid w:val="00555FAA"/>
    <w:rsid w:val="0056068E"/>
    <w:rsid w:val="0056173E"/>
    <w:rsid w:val="005629CD"/>
    <w:rsid w:val="005634CB"/>
    <w:rsid w:val="00564651"/>
    <w:rsid w:val="00565BA8"/>
    <w:rsid w:val="00565C8D"/>
    <w:rsid w:val="00566607"/>
    <w:rsid w:val="005676FC"/>
    <w:rsid w:val="00567F44"/>
    <w:rsid w:val="00571D96"/>
    <w:rsid w:val="00572B93"/>
    <w:rsid w:val="005741CC"/>
    <w:rsid w:val="00574B97"/>
    <w:rsid w:val="00574C0A"/>
    <w:rsid w:val="00576546"/>
    <w:rsid w:val="005811E9"/>
    <w:rsid w:val="00581D55"/>
    <w:rsid w:val="00582261"/>
    <w:rsid w:val="00583678"/>
    <w:rsid w:val="005836E4"/>
    <w:rsid w:val="00584C2D"/>
    <w:rsid w:val="00587310"/>
    <w:rsid w:val="0059053C"/>
    <w:rsid w:val="00592833"/>
    <w:rsid w:val="00592C10"/>
    <w:rsid w:val="00597F37"/>
    <w:rsid w:val="005B0F7F"/>
    <w:rsid w:val="005B13B6"/>
    <w:rsid w:val="005B1FA7"/>
    <w:rsid w:val="005B4F6A"/>
    <w:rsid w:val="005B601B"/>
    <w:rsid w:val="005B6C55"/>
    <w:rsid w:val="005B6CA2"/>
    <w:rsid w:val="005B763B"/>
    <w:rsid w:val="005C1C61"/>
    <w:rsid w:val="005C3CD9"/>
    <w:rsid w:val="005C3D7F"/>
    <w:rsid w:val="005D01CB"/>
    <w:rsid w:val="005D4962"/>
    <w:rsid w:val="005D6C00"/>
    <w:rsid w:val="005E2205"/>
    <w:rsid w:val="005E225C"/>
    <w:rsid w:val="005E315D"/>
    <w:rsid w:val="005E62AC"/>
    <w:rsid w:val="005E6745"/>
    <w:rsid w:val="005F4BE6"/>
    <w:rsid w:val="005F5A99"/>
    <w:rsid w:val="006003E1"/>
    <w:rsid w:val="00601C9D"/>
    <w:rsid w:val="00601E98"/>
    <w:rsid w:val="00605E6F"/>
    <w:rsid w:val="00605E99"/>
    <w:rsid w:val="006100A1"/>
    <w:rsid w:val="00612468"/>
    <w:rsid w:val="006124C4"/>
    <w:rsid w:val="0061350A"/>
    <w:rsid w:val="00613AE0"/>
    <w:rsid w:val="006150F3"/>
    <w:rsid w:val="006164E6"/>
    <w:rsid w:val="00620DF8"/>
    <w:rsid w:val="00621610"/>
    <w:rsid w:val="00621ADB"/>
    <w:rsid w:val="006221C7"/>
    <w:rsid w:val="00624235"/>
    <w:rsid w:val="00625DB2"/>
    <w:rsid w:val="0062677B"/>
    <w:rsid w:val="0062760D"/>
    <w:rsid w:val="00630267"/>
    <w:rsid w:val="00630551"/>
    <w:rsid w:val="006327C1"/>
    <w:rsid w:val="006344E6"/>
    <w:rsid w:val="006357CE"/>
    <w:rsid w:val="0063596E"/>
    <w:rsid w:val="0063598C"/>
    <w:rsid w:val="00635CC8"/>
    <w:rsid w:val="0063768A"/>
    <w:rsid w:val="006377E5"/>
    <w:rsid w:val="00641B53"/>
    <w:rsid w:val="0064275B"/>
    <w:rsid w:val="006428A8"/>
    <w:rsid w:val="00642AB6"/>
    <w:rsid w:val="00642E90"/>
    <w:rsid w:val="00644AE9"/>
    <w:rsid w:val="00652FF3"/>
    <w:rsid w:val="00653658"/>
    <w:rsid w:val="00654530"/>
    <w:rsid w:val="00654C03"/>
    <w:rsid w:val="006565D6"/>
    <w:rsid w:val="0066082F"/>
    <w:rsid w:val="00661037"/>
    <w:rsid w:val="006613B7"/>
    <w:rsid w:val="00661560"/>
    <w:rsid w:val="00661B1C"/>
    <w:rsid w:val="00662C75"/>
    <w:rsid w:val="00662EA5"/>
    <w:rsid w:val="006642FC"/>
    <w:rsid w:val="00664866"/>
    <w:rsid w:val="00665708"/>
    <w:rsid w:val="00665906"/>
    <w:rsid w:val="006665E7"/>
    <w:rsid w:val="00670B15"/>
    <w:rsid w:val="00673DEF"/>
    <w:rsid w:val="0067423A"/>
    <w:rsid w:val="00674AE7"/>
    <w:rsid w:val="00675B05"/>
    <w:rsid w:val="00677FF7"/>
    <w:rsid w:val="00680FE0"/>
    <w:rsid w:val="0068143F"/>
    <w:rsid w:val="00682F58"/>
    <w:rsid w:val="00686AE9"/>
    <w:rsid w:val="00687327"/>
    <w:rsid w:val="00687F80"/>
    <w:rsid w:val="00690D9B"/>
    <w:rsid w:val="006913BD"/>
    <w:rsid w:val="00691A83"/>
    <w:rsid w:val="00695201"/>
    <w:rsid w:val="00696787"/>
    <w:rsid w:val="006975E9"/>
    <w:rsid w:val="006976F3"/>
    <w:rsid w:val="006A224B"/>
    <w:rsid w:val="006A2D13"/>
    <w:rsid w:val="006A453F"/>
    <w:rsid w:val="006A681C"/>
    <w:rsid w:val="006A6AB3"/>
    <w:rsid w:val="006B092E"/>
    <w:rsid w:val="006B3359"/>
    <w:rsid w:val="006B3427"/>
    <w:rsid w:val="006B3AD3"/>
    <w:rsid w:val="006B7147"/>
    <w:rsid w:val="006B7630"/>
    <w:rsid w:val="006B7C9A"/>
    <w:rsid w:val="006C0BBC"/>
    <w:rsid w:val="006C3375"/>
    <w:rsid w:val="006C395E"/>
    <w:rsid w:val="006C42AA"/>
    <w:rsid w:val="006C4C4F"/>
    <w:rsid w:val="006C78AF"/>
    <w:rsid w:val="006C7DB4"/>
    <w:rsid w:val="006C7FAC"/>
    <w:rsid w:val="006D0257"/>
    <w:rsid w:val="006D2A60"/>
    <w:rsid w:val="006D34BD"/>
    <w:rsid w:val="006D63D6"/>
    <w:rsid w:val="006E03B9"/>
    <w:rsid w:val="006E1334"/>
    <w:rsid w:val="006E3042"/>
    <w:rsid w:val="006E3D24"/>
    <w:rsid w:val="006E4EBF"/>
    <w:rsid w:val="006F1A56"/>
    <w:rsid w:val="006F218A"/>
    <w:rsid w:val="006F5F10"/>
    <w:rsid w:val="00702E9E"/>
    <w:rsid w:val="00703051"/>
    <w:rsid w:val="00704E78"/>
    <w:rsid w:val="00706C93"/>
    <w:rsid w:val="00710B26"/>
    <w:rsid w:val="007126AD"/>
    <w:rsid w:val="00713B29"/>
    <w:rsid w:val="00713EB4"/>
    <w:rsid w:val="007149E5"/>
    <w:rsid w:val="007156C7"/>
    <w:rsid w:val="00715FC6"/>
    <w:rsid w:val="00720A28"/>
    <w:rsid w:val="00721744"/>
    <w:rsid w:val="0072409D"/>
    <w:rsid w:val="0072533B"/>
    <w:rsid w:val="007261FE"/>
    <w:rsid w:val="00726FAA"/>
    <w:rsid w:val="007275B1"/>
    <w:rsid w:val="00732747"/>
    <w:rsid w:val="007328D7"/>
    <w:rsid w:val="00733F6B"/>
    <w:rsid w:val="007340F8"/>
    <w:rsid w:val="007364E9"/>
    <w:rsid w:val="00736F83"/>
    <w:rsid w:val="00736FCD"/>
    <w:rsid w:val="007375F5"/>
    <w:rsid w:val="00737724"/>
    <w:rsid w:val="00743F26"/>
    <w:rsid w:val="00746CE6"/>
    <w:rsid w:val="00750450"/>
    <w:rsid w:val="007522C0"/>
    <w:rsid w:val="007537DB"/>
    <w:rsid w:val="00754363"/>
    <w:rsid w:val="00754B53"/>
    <w:rsid w:val="00756305"/>
    <w:rsid w:val="00756AC0"/>
    <w:rsid w:val="00756B56"/>
    <w:rsid w:val="007613F8"/>
    <w:rsid w:val="00761892"/>
    <w:rsid w:val="007623CE"/>
    <w:rsid w:val="00762A59"/>
    <w:rsid w:val="00763245"/>
    <w:rsid w:val="007646AD"/>
    <w:rsid w:val="00764C8A"/>
    <w:rsid w:val="0076661B"/>
    <w:rsid w:val="00766C15"/>
    <w:rsid w:val="00767C46"/>
    <w:rsid w:val="00771911"/>
    <w:rsid w:val="007726B0"/>
    <w:rsid w:val="0077330C"/>
    <w:rsid w:val="00773D7D"/>
    <w:rsid w:val="007761BA"/>
    <w:rsid w:val="007776DA"/>
    <w:rsid w:val="007778F0"/>
    <w:rsid w:val="007806D8"/>
    <w:rsid w:val="00782C7F"/>
    <w:rsid w:val="00782DF1"/>
    <w:rsid w:val="00783288"/>
    <w:rsid w:val="00784350"/>
    <w:rsid w:val="0078507C"/>
    <w:rsid w:val="00787887"/>
    <w:rsid w:val="0079097C"/>
    <w:rsid w:val="00790DC1"/>
    <w:rsid w:val="0079297A"/>
    <w:rsid w:val="00792F32"/>
    <w:rsid w:val="00792FA1"/>
    <w:rsid w:val="007937C9"/>
    <w:rsid w:val="0079390D"/>
    <w:rsid w:val="00793C05"/>
    <w:rsid w:val="00794217"/>
    <w:rsid w:val="007945CA"/>
    <w:rsid w:val="007970F1"/>
    <w:rsid w:val="007A0128"/>
    <w:rsid w:val="007A1098"/>
    <w:rsid w:val="007A3F6F"/>
    <w:rsid w:val="007A41C8"/>
    <w:rsid w:val="007A456E"/>
    <w:rsid w:val="007A467D"/>
    <w:rsid w:val="007A60EB"/>
    <w:rsid w:val="007A6E5B"/>
    <w:rsid w:val="007A6FBE"/>
    <w:rsid w:val="007A7A6D"/>
    <w:rsid w:val="007A7F04"/>
    <w:rsid w:val="007B2BFD"/>
    <w:rsid w:val="007B2D19"/>
    <w:rsid w:val="007B5054"/>
    <w:rsid w:val="007C067E"/>
    <w:rsid w:val="007C0A9D"/>
    <w:rsid w:val="007C0FF2"/>
    <w:rsid w:val="007C2389"/>
    <w:rsid w:val="007C279C"/>
    <w:rsid w:val="007C3E48"/>
    <w:rsid w:val="007C4890"/>
    <w:rsid w:val="007C48BB"/>
    <w:rsid w:val="007C4B0E"/>
    <w:rsid w:val="007C5161"/>
    <w:rsid w:val="007C5AFF"/>
    <w:rsid w:val="007C5DDF"/>
    <w:rsid w:val="007C6867"/>
    <w:rsid w:val="007C6A68"/>
    <w:rsid w:val="007D123C"/>
    <w:rsid w:val="007D261B"/>
    <w:rsid w:val="007D2D2F"/>
    <w:rsid w:val="007D3FE0"/>
    <w:rsid w:val="007D46FD"/>
    <w:rsid w:val="007D4C0A"/>
    <w:rsid w:val="007E1ACE"/>
    <w:rsid w:val="007E62AF"/>
    <w:rsid w:val="007E63EC"/>
    <w:rsid w:val="007E6E98"/>
    <w:rsid w:val="007F14C8"/>
    <w:rsid w:val="007F152E"/>
    <w:rsid w:val="007F3283"/>
    <w:rsid w:val="007F353B"/>
    <w:rsid w:val="007F3CA7"/>
    <w:rsid w:val="007F5A0D"/>
    <w:rsid w:val="007F5DDB"/>
    <w:rsid w:val="007F6589"/>
    <w:rsid w:val="007F7214"/>
    <w:rsid w:val="007F7E07"/>
    <w:rsid w:val="0080026B"/>
    <w:rsid w:val="0080132D"/>
    <w:rsid w:val="008015E0"/>
    <w:rsid w:val="00801627"/>
    <w:rsid w:val="00802CC4"/>
    <w:rsid w:val="00803FB8"/>
    <w:rsid w:val="008051E3"/>
    <w:rsid w:val="00806268"/>
    <w:rsid w:val="00807555"/>
    <w:rsid w:val="00811092"/>
    <w:rsid w:val="00812A3A"/>
    <w:rsid w:val="008155F8"/>
    <w:rsid w:val="00816FCD"/>
    <w:rsid w:val="0082208D"/>
    <w:rsid w:val="00822D19"/>
    <w:rsid w:val="0082620B"/>
    <w:rsid w:val="008268A7"/>
    <w:rsid w:val="00827BB2"/>
    <w:rsid w:val="0083162C"/>
    <w:rsid w:val="008324C1"/>
    <w:rsid w:val="00832AFE"/>
    <w:rsid w:val="00833E41"/>
    <w:rsid w:val="008348B3"/>
    <w:rsid w:val="00835ACF"/>
    <w:rsid w:val="00835D64"/>
    <w:rsid w:val="0084256C"/>
    <w:rsid w:val="00850EE5"/>
    <w:rsid w:val="008532D8"/>
    <w:rsid w:val="008533C0"/>
    <w:rsid w:val="0085412A"/>
    <w:rsid w:val="008560FF"/>
    <w:rsid w:val="0085776C"/>
    <w:rsid w:val="008579A7"/>
    <w:rsid w:val="00861E27"/>
    <w:rsid w:val="00863D03"/>
    <w:rsid w:val="00864210"/>
    <w:rsid w:val="00864BBA"/>
    <w:rsid w:val="008655CA"/>
    <w:rsid w:val="00865C25"/>
    <w:rsid w:val="00866F6B"/>
    <w:rsid w:val="00870461"/>
    <w:rsid w:val="0087105B"/>
    <w:rsid w:val="00871DCF"/>
    <w:rsid w:val="008721DA"/>
    <w:rsid w:val="00873BA6"/>
    <w:rsid w:val="00874315"/>
    <w:rsid w:val="0087763C"/>
    <w:rsid w:val="00877785"/>
    <w:rsid w:val="008778DB"/>
    <w:rsid w:val="00877980"/>
    <w:rsid w:val="00877AB4"/>
    <w:rsid w:val="0088045F"/>
    <w:rsid w:val="008816F6"/>
    <w:rsid w:val="008839E9"/>
    <w:rsid w:val="00884400"/>
    <w:rsid w:val="008844AC"/>
    <w:rsid w:val="008875B1"/>
    <w:rsid w:val="00887E77"/>
    <w:rsid w:val="00890D1D"/>
    <w:rsid w:val="008934A5"/>
    <w:rsid w:val="00895819"/>
    <w:rsid w:val="008974C1"/>
    <w:rsid w:val="008978F1"/>
    <w:rsid w:val="008A283C"/>
    <w:rsid w:val="008A4C61"/>
    <w:rsid w:val="008A620A"/>
    <w:rsid w:val="008A67D1"/>
    <w:rsid w:val="008A717C"/>
    <w:rsid w:val="008A798B"/>
    <w:rsid w:val="008B0D97"/>
    <w:rsid w:val="008B11BB"/>
    <w:rsid w:val="008B157D"/>
    <w:rsid w:val="008B1DDE"/>
    <w:rsid w:val="008B4278"/>
    <w:rsid w:val="008B59AB"/>
    <w:rsid w:val="008B7A10"/>
    <w:rsid w:val="008C0566"/>
    <w:rsid w:val="008C2057"/>
    <w:rsid w:val="008C495E"/>
    <w:rsid w:val="008C73D9"/>
    <w:rsid w:val="008D0871"/>
    <w:rsid w:val="008D31EB"/>
    <w:rsid w:val="008D32EB"/>
    <w:rsid w:val="008D7757"/>
    <w:rsid w:val="008E145A"/>
    <w:rsid w:val="008E16FA"/>
    <w:rsid w:val="008E3D50"/>
    <w:rsid w:val="008E4A20"/>
    <w:rsid w:val="008E4B65"/>
    <w:rsid w:val="008E559D"/>
    <w:rsid w:val="008E7A69"/>
    <w:rsid w:val="008F11D2"/>
    <w:rsid w:val="008F3A4C"/>
    <w:rsid w:val="008F4269"/>
    <w:rsid w:val="008F46B0"/>
    <w:rsid w:val="008F6A69"/>
    <w:rsid w:val="008F6AEA"/>
    <w:rsid w:val="009033C0"/>
    <w:rsid w:val="009048A8"/>
    <w:rsid w:val="009078FA"/>
    <w:rsid w:val="00910118"/>
    <w:rsid w:val="00910404"/>
    <w:rsid w:val="0091188C"/>
    <w:rsid w:val="00911D74"/>
    <w:rsid w:val="00912A91"/>
    <w:rsid w:val="00913439"/>
    <w:rsid w:val="00913DC5"/>
    <w:rsid w:val="00914804"/>
    <w:rsid w:val="00914E82"/>
    <w:rsid w:val="0091716B"/>
    <w:rsid w:val="00922B3A"/>
    <w:rsid w:val="009256C8"/>
    <w:rsid w:val="00926442"/>
    <w:rsid w:val="00926B15"/>
    <w:rsid w:val="00927412"/>
    <w:rsid w:val="00931D56"/>
    <w:rsid w:val="00932E0F"/>
    <w:rsid w:val="00936CBE"/>
    <w:rsid w:val="00936DA4"/>
    <w:rsid w:val="009401CC"/>
    <w:rsid w:val="00940789"/>
    <w:rsid w:val="00941AF0"/>
    <w:rsid w:val="00941D56"/>
    <w:rsid w:val="0094683E"/>
    <w:rsid w:val="00947B4C"/>
    <w:rsid w:val="00950639"/>
    <w:rsid w:val="00950C37"/>
    <w:rsid w:val="0095111C"/>
    <w:rsid w:val="00951F4D"/>
    <w:rsid w:val="00951F63"/>
    <w:rsid w:val="00953404"/>
    <w:rsid w:val="009540CF"/>
    <w:rsid w:val="00954291"/>
    <w:rsid w:val="009562F5"/>
    <w:rsid w:val="0095680C"/>
    <w:rsid w:val="009610F3"/>
    <w:rsid w:val="009626FF"/>
    <w:rsid w:val="00962F1A"/>
    <w:rsid w:val="00964601"/>
    <w:rsid w:val="00965F39"/>
    <w:rsid w:val="00970BF1"/>
    <w:rsid w:val="009742AD"/>
    <w:rsid w:val="00976AA8"/>
    <w:rsid w:val="00976BC7"/>
    <w:rsid w:val="00977B94"/>
    <w:rsid w:val="00980656"/>
    <w:rsid w:val="00982896"/>
    <w:rsid w:val="0098315E"/>
    <w:rsid w:val="009841BE"/>
    <w:rsid w:val="0098594E"/>
    <w:rsid w:val="00987B4F"/>
    <w:rsid w:val="009901B9"/>
    <w:rsid w:val="009907A9"/>
    <w:rsid w:val="00992F4F"/>
    <w:rsid w:val="00993F82"/>
    <w:rsid w:val="00994836"/>
    <w:rsid w:val="0099510B"/>
    <w:rsid w:val="00995406"/>
    <w:rsid w:val="00996326"/>
    <w:rsid w:val="009A3569"/>
    <w:rsid w:val="009A47C1"/>
    <w:rsid w:val="009A5B33"/>
    <w:rsid w:val="009A77E3"/>
    <w:rsid w:val="009B0699"/>
    <w:rsid w:val="009B0923"/>
    <w:rsid w:val="009B097A"/>
    <w:rsid w:val="009B1EFA"/>
    <w:rsid w:val="009B3FFA"/>
    <w:rsid w:val="009B4302"/>
    <w:rsid w:val="009B5AD2"/>
    <w:rsid w:val="009B5ED9"/>
    <w:rsid w:val="009B61A3"/>
    <w:rsid w:val="009B6FBC"/>
    <w:rsid w:val="009B74BA"/>
    <w:rsid w:val="009C2294"/>
    <w:rsid w:val="009C5229"/>
    <w:rsid w:val="009C5617"/>
    <w:rsid w:val="009C5D76"/>
    <w:rsid w:val="009C6FF1"/>
    <w:rsid w:val="009D0420"/>
    <w:rsid w:val="009D08BA"/>
    <w:rsid w:val="009D1062"/>
    <w:rsid w:val="009D18CE"/>
    <w:rsid w:val="009D3090"/>
    <w:rsid w:val="009D32D9"/>
    <w:rsid w:val="009D3948"/>
    <w:rsid w:val="009D4925"/>
    <w:rsid w:val="009D4AA8"/>
    <w:rsid w:val="009D4D9C"/>
    <w:rsid w:val="009D5550"/>
    <w:rsid w:val="009D6AFD"/>
    <w:rsid w:val="009D6F44"/>
    <w:rsid w:val="009E0143"/>
    <w:rsid w:val="009E122F"/>
    <w:rsid w:val="009E2983"/>
    <w:rsid w:val="009E2A78"/>
    <w:rsid w:val="009E33A6"/>
    <w:rsid w:val="009E3C54"/>
    <w:rsid w:val="009E623D"/>
    <w:rsid w:val="009E76F2"/>
    <w:rsid w:val="009E7E87"/>
    <w:rsid w:val="009F1D9A"/>
    <w:rsid w:val="009F4432"/>
    <w:rsid w:val="009F4CE8"/>
    <w:rsid w:val="009F4DA7"/>
    <w:rsid w:val="009F68B7"/>
    <w:rsid w:val="009F713D"/>
    <w:rsid w:val="009F79D3"/>
    <w:rsid w:val="00A01AB6"/>
    <w:rsid w:val="00A03565"/>
    <w:rsid w:val="00A05509"/>
    <w:rsid w:val="00A05CE5"/>
    <w:rsid w:val="00A111F6"/>
    <w:rsid w:val="00A11DC0"/>
    <w:rsid w:val="00A12660"/>
    <w:rsid w:val="00A15053"/>
    <w:rsid w:val="00A16602"/>
    <w:rsid w:val="00A1775C"/>
    <w:rsid w:val="00A21078"/>
    <w:rsid w:val="00A23509"/>
    <w:rsid w:val="00A23703"/>
    <w:rsid w:val="00A24E64"/>
    <w:rsid w:val="00A24FB0"/>
    <w:rsid w:val="00A25761"/>
    <w:rsid w:val="00A26098"/>
    <w:rsid w:val="00A26313"/>
    <w:rsid w:val="00A27586"/>
    <w:rsid w:val="00A31D57"/>
    <w:rsid w:val="00A3352E"/>
    <w:rsid w:val="00A36504"/>
    <w:rsid w:val="00A37BDB"/>
    <w:rsid w:val="00A37D52"/>
    <w:rsid w:val="00A42C12"/>
    <w:rsid w:val="00A43E1D"/>
    <w:rsid w:val="00A45FFE"/>
    <w:rsid w:val="00A462A8"/>
    <w:rsid w:val="00A468E5"/>
    <w:rsid w:val="00A54B1D"/>
    <w:rsid w:val="00A54B3C"/>
    <w:rsid w:val="00A5553C"/>
    <w:rsid w:val="00A62D96"/>
    <w:rsid w:val="00A641B8"/>
    <w:rsid w:val="00A64550"/>
    <w:rsid w:val="00A64CA9"/>
    <w:rsid w:val="00A65520"/>
    <w:rsid w:val="00A67203"/>
    <w:rsid w:val="00A67937"/>
    <w:rsid w:val="00A67BDA"/>
    <w:rsid w:val="00A67E8E"/>
    <w:rsid w:val="00A71342"/>
    <w:rsid w:val="00A74DD5"/>
    <w:rsid w:val="00A77BD5"/>
    <w:rsid w:val="00A802F9"/>
    <w:rsid w:val="00A80551"/>
    <w:rsid w:val="00A816D2"/>
    <w:rsid w:val="00A818FE"/>
    <w:rsid w:val="00A851EC"/>
    <w:rsid w:val="00A85775"/>
    <w:rsid w:val="00A85C7E"/>
    <w:rsid w:val="00A85D95"/>
    <w:rsid w:val="00A87CB4"/>
    <w:rsid w:val="00A901DF"/>
    <w:rsid w:val="00A90500"/>
    <w:rsid w:val="00A90A98"/>
    <w:rsid w:val="00A9162F"/>
    <w:rsid w:val="00A92F21"/>
    <w:rsid w:val="00A947E1"/>
    <w:rsid w:val="00A951B5"/>
    <w:rsid w:val="00AA002D"/>
    <w:rsid w:val="00AA0B22"/>
    <w:rsid w:val="00AA1F15"/>
    <w:rsid w:val="00AA2201"/>
    <w:rsid w:val="00AA278B"/>
    <w:rsid w:val="00AA2883"/>
    <w:rsid w:val="00AA3BAE"/>
    <w:rsid w:val="00AA3DE0"/>
    <w:rsid w:val="00AA58B2"/>
    <w:rsid w:val="00AB0B34"/>
    <w:rsid w:val="00AB28F5"/>
    <w:rsid w:val="00AB51B8"/>
    <w:rsid w:val="00AB77F3"/>
    <w:rsid w:val="00AC0FE6"/>
    <w:rsid w:val="00AC3352"/>
    <w:rsid w:val="00AC3714"/>
    <w:rsid w:val="00AC548A"/>
    <w:rsid w:val="00AC6AC1"/>
    <w:rsid w:val="00AD3AAD"/>
    <w:rsid w:val="00AD48D6"/>
    <w:rsid w:val="00AD4965"/>
    <w:rsid w:val="00AD70EC"/>
    <w:rsid w:val="00AE0418"/>
    <w:rsid w:val="00AE2685"/>
    <w:rsid w:val="00AE4452"/>
    <w:rsid w:val="00AE601A"/>
    <w:rsid w:val="00AF04BC"/>
    <w:rsid w:val="00AF0619"/>
    <w:rsid w:val="00AF4207"/>
    <w:rsid w:val="00AF7B48"/>
    <w:rsid w:val="00B014AA"/>
    <w:rsid w:val="00B025E0"/>
    <w:rsid w:val="00B038C2"/>
    <w:rsid w:val="00B04538"/>
    <w:rsid w:val="00B0601E"/>
    <w:rsid w:val="00B114FA"/>
    <w:rsid w:val="00B1415E"/>
    <w:rsid w:val="00B1563F"/>
    <w:rsid w:val="00B158DC"/>
    <w:rsid w:val="00B16B87"/>
    <w:rsid w:val="00B17389"/>
    <w:rsid w:val="00B20E5D"/>
    <w:rsid w:val="00B21176"/>
    <w:rsid w:val="00B221FD"/>
    <w:rsid w:val="00B2349C"/>
    <w:rsid w:val="00B23888"/>
    <w:rsid w:val="00B242FE"/>
    <w:rsid w:val="00B24EFF"/>
    <w:rsid w:val="00B2536D"/>
    <w:rsid w:val="00B277E9"/>
    <w:rsid w:val="00B27A9D"/>
    <w:rsid w:val="00B30EAD"/>
    <w:rsid w:val="00B31225"/>
    <w:rsid w:val="00B31454"/>
    <w:rsid w:val="00B32CAB"/>
    <w:rsid w:val="00B343FB"/>
    <w:rsid w:val="00B35534"/>
    <w:rsid w:val="00B35F6F"/>
    <w:rsid w:val="00B363C7"/>
    <w:rsid w:val="00B36FD3"/>
    <w:rsid w:val="00B40941"/>
    <w:rsid w:val="00B45C5D"/>
    <w:rsid w:val="00B464E5"/>
    <w:rsid w:val="00B4653C"/>
    <w:rsid w:val="00B47E67"/>
    <w:rsid w:val="00B5289A"/>
    <w:rsid w:val="00B54622"/>
    <w:rsid w:val="00B5540F"/>
    <w:rsid w:val="00B55549"/>
    <w:rsid w:val="00B56484"/>
    <w:rsid w:val="00B566FC"/>
    <w:rsid w:val="00B56BCE"/>
    <w:rsid w:val="00B572D3"/>
    <w:rsid w:val="00B60A40"/>
    <w:rsid w:val="00B61084"/>
    <w:rsid w:val="00B63EF0"/>
    <w:rsid w:val="00B6438B"/>
    <w:rsid w:val="00B65B5A"/>
    <w:rsid w:val="00B66095"/>
    <w:rsid w:val="00B66B17"/>
    <w:rsid w:val="00B718FF"/>
    <w:rsid w:val="00B73699"/>
    <w:rsid w:val="00B73C1E"/>
    <w:rsid w:val="00B74C2B"/>
    <w:rsid w:val="00B76449"/>
    <w:rsid w:val="00B764B0"/>
    <w:rsid w:val="00B76563"/>
    <w:rsid w:val="00B76858"/>
    <w:rsid w:val="00B775F0"/>
    <w:rsid w:val="00B77B29"/>
    <w:rsid w:val="00B77FBD"/>
    <w:rsid w:val="00B81EF2"/>
    <w:rsid w:val="00B826B6"/>
    <w:rsid w:val="00B84543"/>
    <w:rsid w:val="00B8496E"/>
    <w:rsid w:val="00B856F1"/>
    <w:rsid w:val="00B8618D"/>
    <w:rsid w:val="00B87DCB"/>
    <w:rsid w:val="00B93992"/>
    <w:rsid w:val="00B93DFF"/>
    <w:rsid w:val="00B93F59"/>
    <w:rsid w:val="00B94F5A"/>
    <w:rsid w:val="00B95EA5"/>
    <w:rsid w:val="00B97871"/>
    <w:rsid w:val="00B97B3E"/>
    <w:rsid w:val="00BA0BE3"/>
    <w:rsid w:val="00BA0DEA"/>
    <w:rsid w:val="00BA107B"/>
    <w:rsid w:val="00BA17A2"/>
    <w:rsid w:val="00BA27A9"/>
    <w:rsid w:val="00BA2D9C"/>
    <w:rsid w:val="00BA39CB"/>
    <w:rsid w:val="00BA52B2"/>
    <w:rsid w:val="00BA68E8"/>
    <w:rsid w:val="00BA6C4A"/>
    <w:rsid w:val="00BA7D58"/>
    <w:rsid w:val="00BA7FEE"/>
    <w:rsid w:val="00BB0D5A"/>
    <w:rsid w:val="00BB0E6F"/>
    <w:rsid w:val="00BB1721"/>
    <w:rsid w:val="00BB2E65"/>
    <w:rsid w:val="00BB40DD"/>
    <w:rsid w:val="00BB5E51"/>
    <w:rsid w:val="00BB5EE2"/>
    <w:rsid w:val="00BB6E25"/>
    <w:rsid w:val="00BB7980"/>
    <w:rsid w:val="00BC1390"/>
    <w:rsid w:val="00BC18A4"/>
    <w:rsid w:val="00BC2883"/>
    <w:rsid w:val="00BC2CFA"/>
    <w:rsid w:val="00BC3CC1"/>
    <w:rsid w:val="00BC4AC5"/>
    <w:rsid w:val="00BC63DE"/>
    <w:rsid w:val="00BC6496"/>
    <w:rsid w:val="00BC7C5E"/>
    <w:rsid w:val="00BD0C86"/>
    <w:rsid w:val="00BD14A7"/>
    <w:rsid w:val="00BD4B38"/>
    <w:rsid w:val="00BD620B"/>
    <w:rsid w:val="00BD6226"/>
    <w:rsid w:val="00BD6F88"/>
    <w:rsid w:val="00BE13D5"/>
    <w:rsid w:val="00BE2631"/>
    <w:rsid w:val="00BE28A9"/>
    <w:rsid w:val="00BE435F"/>
    <w:rsid w:val="00BE64BD"/>
    <w:rsid w:val="00BE680B"/>
    <w:rsid w:val="00BE723B"/>
    <w:rsid w:val="00BF0F83"/>
    <w:rsid w:val="00BF1813"/>
    <w:rsid w:val="00BF19AB"/>
    <w:rsid w:val="00C011A7"/>
    <w:rsid w:val="00C02C48"/>
    <w:rsid w:val="00C0450D"/>
    <w:rsid w:val="00C05708"/>
    <w:rsid w:val="00C05CDA"/>
    <w:rsid w:val="00C10873"/>
    <w:rsid w:val="00C10F99"/>
    <w:rsid w:val="00C1264B"/>
    <w:rsid w:val="00C126A5"/>
    <w:rsid w:val="00C129A3"/>
    <w:rsid w:val="00C1504F"/>
    <w:rsid w:val="00C1516C"/>
    <w:rsid w:val="00C16A62"/>
    <w:rsid w:val="00C201BF"/>
    <w:rsid w:val="00C21392"/>
    <w:rsid w:val="00C23582"/>
    <w:rsid w:val="00C23667"/>
    <w:rsid w:val="00C239BD"/>
    <w:rsid w:val="00C23A38"/>
    <w:rsid w:val="00C23C43"/>
    <w:rsid w:val="00C25297"/>
    <w:rsid w:val="00C26F0D"/>
    <w:rsid w:val="00C27886"/>
    <w:rsid w:val="00C30DD0"/>
    <w:rsid w:val="00C31371"/>
    <w:rsid w:val="00C31F58"/>
    <w:rsid w:val="00C32578"/>
    <w:rsid w:val="00C33C5F"/>
    <w:rsid w:val="00C341A9"/>
    <w:rsid w:val="00C3443F"/>
    <w:rsid w:val="00C34566"/>
    <w:rsid w:val="00C35EF7"/>
    <w:rsid w:val="00C35F7C"/>
    <w:rsid w:val="00C36757"/>
    <w:rsid w:val="00C3716B"/>
    <w:rsid w:val="00C400AA"/>
    <w:rsid w:val="00C40D9B"/>
    <w:rsid w:val="00C4121B"/>
    <w:rsid w:val="00C41394"/>
    <w:rsid w:val="00C4190A"/>
    <w:rsid w:val="00C449F1"/>
    <w:rsid w:val="00C44D07"/>
    <w:rsid w:val="00C45484"/>
    <w:rsid w:val="00C4588F"/>
    <w:rsid w:val="00C502F8"/>
    <w:rsid w:val="00C50BF6"/>
    <w:rsid w:val="00C51B06"/>
    <w:rsid w:val="00C5309D"/>
    <w:rsid w:val="00C53DD0"/>
    <w:rsid w:val="00C546E6"/>
    <w:rsid w:val="00C55254"/>
    <w:rsid w:val="00C564F1"/>
    <w:rsid w:val="00C578A7"/>
    <w:rsid w:val="00C60CC3"/>
    <w:rsid w:val="00C617DA"/>
    <w:rsid w:val="00C629B5"/>
    <w:rsid w:val="00C651C5"/>
    <w:rsid w:val="00C65B75"/>
    <w:rsid w:val="00C706C1"/>
    <w:rsid w:val="00C72E3D"/>
    <w:rsid w:val="00C73DC4"/>
    <w:rsid w:val="00C767F6"/>
    <w:rsid w:val="00C77B02"/>
    <w:rsid w:val="00C80DE3"/>
    <w:rsid w:val="00C81D07"/>
    <w:rsid w:val="00C84992"/>
    <w:rsid w:val="00C85A00"/>
    <w:rsid w:val="00C87887"/>
    <w:rsid w:val="00C9114F"/>
    <w:rsid w:val="00C95280"/>
    <w:rsid w:val="00C95CE8"/>
    <w:rsid w:val="00C96644"/>
    <w:rsid w:val="00C970B5"/>
    <w:rsid w:val="00CA26A7"/>
    <w:rsid w:val="00CA30AF"/>
    <w:rsid w:val="00CA4844"/>
    <w:rsid w:val="00CA49A8"/>
    <w:rsid w:val="00CA52F6"/>
    <w:rsid w:val="00CB0C5E"/>
    <w:rsid w:val="00CB1509"/>
    <w:rsid w:val="00CB292B"/>
    <w:rsid w:val="00CB30A1"/>
    <w:rsid w:val="00CB52C8"/>
    <w:rsid w:val="00CB7422"/>
    <w:rsid w:val="00CB7515"/>
    <w:rsid w:val="00CC21C7"/>
    <w:rsid w:val="00CC2322"/>
    <w:rsid w:val="00CC3583"/>
    <w:rsid w:val="00CC3931"/>
    <w:rsid w:val="00CC4841"/>
    <w:rsid w:val="00CC4DF8"/>
    <w:rsid w:val="00CC5B1D"/>
    <w:rsid w:val="00CC7413"/>
    <w:rsid w:val="00CD08D6"/>
    <w:rsid w:val="00CD10D5"/>
    <w:rsid w:val="00CD174E"/>
    <w:rsid w:val="00CD2235"/>
    <w:rsid w:val="00CD3428"/>
    <w:rsid w:val="00CD34C5"/>
    <w:rsid w:val="00CD42EA"/>
    <w:rsid w:val="00CD4AC7"/>
    <w:rsid w:val="00CD54F2"/>
    <w:rsid w:val="00CD583F"/>
    <w:rsid w:val="00CD5E7F"/>
    <w:rsid w:val="00CE146A"/>
    <w:rsid w:val="00CE3140"/>
    <w:rsid w:val="00CE4C61"/>
    <w:rsid w:val="00CE5D79"/>
    <w:rsid w:val="00CE63DB"/>
    <w:rsid w:val="00CE7328"/>
    <w:rsid w:val="00CF2C25"/>
    <w:rsid w:val="00D00ABA"/>
    <w:rsid w:val="00D02061"/>
    <w:rsid w:val="00D03E83"/>
    <w:rsid w:val="00D04022"/>
    <w:rsid w:val="00D04B30"/>
    <w:rsid w:val="00D05A6C"/>
    <w:rsid w:val="00D1258A"/>
    <w:rsid w:val="00D135D9"/>
    <w:rsid w:val="00D148B8"/>
    <w:rsid w:val="00D169C1"/>
    <w:rsid w:val="00D16D7A"/>
    <w:rsid w:val="00D17993"/>
    <w:rsid w:val="00D17B60"/>
    <w:rsid w:val="00D208C9"/>
    <w:rsid w:val="00D20DED"/>
    <w:rsid w:val="00D21AD1"/>
    <w:rsid w:val="00D21E7F"/>
    <w:rsid w:val="00D26701"/>
    <w:rsid w:val="00D26BEA"/>
    <w:rsid w:val="00D2778F"/>
    <w:rsid w:val="00D354C5"/>
    <w:rsid w:val="00D356D7"/>
    <w:rsid w:val="00D3587F"/>
    <w:rsid w:val="00D35D3E"/>
    <w:rsid w:val="00D368C1"/>
    <w:rsid w:val="00D37515"/>
    <w:rsid w:val="00D37E54"/>
    <w:rsid w:val="00D408E0"/>
    <w:rsid w:val="00D40D85"/>
    <w:rsid w:val="00D41DE2"/>
    <w:rsid w:val="00D42F73"/>
    <w:rsid w:val="00D45415"/>
    <w:rsid w:val="00D456F3"/>
    <w:rsid w:val="00D4634C"/>
    <w:rsid w:val="00D50070"/>
    <w:rsid w:val="00D508EE"/>
    <w:rsid w:val="00D51F2F"/>
    <w:rsid w:val="00D52716"/>
    <w:rsid w:val="00D53C2F"/>
    <w:rsid w:val="00D5404F"/>
    <w:rsid w:val="00D550F1"/>
    <w:rsid w:val="00D567A1"/>
    <w:rsid w:val="00D56BB7"/>
    <w:rsid w:val="00D5710B"/>
    <w:rsid w:val="00D61C2D"/>
    <w:rsid w:val="00D665A6"/>
    <w:rsid w:val="00D6712C"/>
    <w:rsid w:val="00D678E1"/>
    <w:rsid w:val="00D70B0C"/>
    <w:rsid w:val="00D72A63"/>
    <w:rsid w:val="00D72E74"/>
    <w:rsid w:val="00D73A73"/>
    <w:rsid w:val="00D764D6"/>
    <w:rsid w:val="00D7663E"/>
    <w:rsid w:val="00D802E7"/>
    <w:rsid w:val="00D8035F"/>
    <w:rsid w:val="00D80E0E"/>
    <w:rsid w:val="00D8106F"/>
    <w:rsid w:val="00D81381"/>
    <w:rsid w:val="00D81D38"/>
    <w:rsid w:val="00D82164"/>
    <w:rsid w:val="00D85D53"/>
    <w:rsid w:val="00D90FB0"/>
    <w:rsid w:val="00D93090"/>
    <w:rsid w:val="00D93A5E"/>
    <w:rsid w:val="00D95D32"/>
    <w:rsid w:val="00D96BEE"/>
    <w:rsid w:val="00D971D8"/>
    <w:rsid w:val="00D97AAF"/>
    <w:rsid w:val="00DA0406"/>
    <w:rsid w:val="00DA2EC2"/>
    <w:rsid w:val="00DA30E3"/>
    <w:rsid w:val="00DA6B51"/>
    <w:rsid w:val="00DB1210"/>
    <w:rsid w:val="00DB22DF"/>
    <w:rsid w:val="00DB4808"/>
    <w:rsid w:val="00DB55ED"/>
    <w:rsid w:val="00DB5905"/>
    <w:rsid w:val="00DB5A2A"/>
    <w:rsid w:val="00DB6F65"/>
    <w:rsid w:val="00DC1BDF"/>
    <w:rsid w:val="00DC2E8A"/>
    <w:rsid w:val="00DC4626"/>
    <w:rsid w:val="00DC4886"/>
    <w:rsid w:val="00DC51FD"/>
    <w:rsid w:val="00DC54CB"/>
    <w:rsid w:val="00DC56E7"/>
    <w:rsid w:val="00DC5769"/>
    <w:rsid w:val="00DC5C38"/>
    <w:rsid w:val="00DC6F23"/>
    <w:rsid w:val="00DC75C5"/>
    <w:rsid w:val="00DD0979"/>
    <w:rsid w:val="00DD0DDD"/>
    <w:rsid w:val="00DD1A80"/>
    <w:rsid w:val="00DD3627"/>
    <w:rsid w:val="00DD3D7E"/>
    <w:rsid w:val="00DD4696"/>
    <w:rsid w:val="00DD4F4E"/>
    <w:rsid w:val="00DE15FA"/>
    <w:rsid w:val="00DE16DA"/>
    <w:rsid w:val="00DE27A1"/>
    <w:rsid w:val="00DE2CD7"/>
    <w:rsid w:val="00DE32F2"/>
    <w:rsid w:val="00DE3F09"/>
    <w:rsid w:val="00DF0E7C"/>
    <w:rsid w:val="00DF158C"/>
    <w:rsid w:val="00DF3809"/>
    <w:rsid w:val="00DF43F3"/>
    <w:rsid w:val="00DF61A9"/>
    <w:rsid w:val="00E0065F"/>
    <w:rsid w:val="00E01DE4"/>
    <w:rsid w:val="00E0215D"/>
    <w:rsid w:val="00E02195"/>
    <w:rsid w:val="00E02C61"/>
    <w:rsid w:val="00E06DD3"/>
    <w:rsid w:val="00E108CA"/>
    <w:rsid w:val="00E10FF4"/>
    <w:rsid w:val="00E115B6"/>
    <w:rsid w:val="00E1160A"/>
    <w:rsid w:val="00E1324A"/>
    <w:rsid w:val="00E14437"/>
    <w:rsid w:val="00E144C1"/>
    <w:rsid w:val="00E20996"/>
    <w:rsid w:val="00E27334"/>
    <w:rsid w:val="00E27D2D"/>
    <w:rsid w:val="00E3353A"/>
    <w:rsid w:val="00E344AC"/>
    <w:rsid w:val="00E37AA3"/>
    <w:rsid w:val="00E403B7"/>
    <w:rsid w:val="00E408D5"/>
    <w:rsid w:val="00E40DA9"/>
    <w:rsid w:val="00E41B86"/>
    <w:rsid w:val="00E42316"/>
    <w:rsid w:val="00E4249C"/>
    <w:rsid w:val="00E427C8"/>
    <w:rsid w:val="00E4367D"/>
    <w:rsid w:val="00E449F6"/>
    <w:rsid w:val="00E45F06"/>
    <w:rsid w:val="00E47367"/>
    <w:rsid w:val="00E500BB"/>
    <w:rsid w:val="00E5077C"/>
    <w:rsid w:val="00E50F6C"/>
    <w:rsid w:val="00E51ECA"/>
    <w:rsid w:val="00E52C30"/>
    <w:rsid w:val="00E5300B"/>
    <w:rsid w:val="00E54284"/>
    <w:rsid w:val="00E55963"/>
    <w:rsid w:val="00E55B59"/>
    <w:rsid w:val="00E607AA"/>
    <w:rsid w:val="00E6335F"/>
    <w:rsid w:val="00E634F9"/>
    <w:rsid w:val="00E64D17"/>
    <w:rsid w:val="00E6654A"/>
    <w:rsid w:val="00E67F57"/>
    <w:rsid w:val="00E713E1"/>
    <w:rsid w:val="00E71D50"/>
    <w:rsid w:val="00E76FE2"/>
    <w:rsid w:val="00E82662"/>
    <w:rsid w:val="00E82783"/>
    <w:rsid w:val="00E827A1"/>
    <w:rsid w:val="00E82A38"/>
    <w:rsid w:val="00E84805"/>
    <w:rsid w:val="00E850E9"/>
    <w:rsid w:val="00E85F38"/>
    <w:rsid w:val="00E8645F"/>
    <w:rsid w:val="00E86F12"/>
    <w:rsid w:val="00E87548"/>
    <w:rsid w:val="00E87859"/>
    <w:rsid w:val="00E9223E"/>
    <w:rsid w:val="00E927E3"/>
    <w:rsid w:val="00E92889"/>
    <w:rsid w:val="00E93009"/>
    <w:rsid w:val="00E939CC"/>
    <w:rsid w:val="00E96EA8"/>
    <w:rsid w:val="00E97EBB"/>
    <w:rsid w:val="00EA0517"/>
    <w:rsid w:val="00EA2A1F"/>
    <w:rsid w:val="00EB234C"/>
    <w:rsid w:val="00EB2FCE"/>
    <w:rsid w:val="00EB3EDC"/>
    <w:rsid w:val="00EB52A5"/>
    <w:rsid w:val="00EB5B84"/>
    <w:rsid w:val="00EB6FE2"/>
    <w:rsid w:val="00EB73E5"/>
    <w:rsid w:val="00EB7A59"/>
    <w:rsid w:val="00EB7D61"/>
    <w:rsid w:val="00EC0C6A"/>
    <w:rsid w:val="00EC27D8"/>
    <w:rsid w:val="00EC3905"/>
    <w:rsid w:val="00EC4D28"/>
    <w:rsid w:val="00EC72FD"/>
    <w:rsid w:val="00ED0FFA"/>
    <w:rsid w:val="00ED4168"/>
    <w:rsid w:val="00ED558D"/>
    <w:rsid w:val="00ED72F2"/>
    <w:rsid w:val="00ED775D"/>
    <w:rsid w:val="00EE0D4A"/>
    <w:rsid w:val="00EE1A91"/>
    <w:rsid w:val="00EE2499"/>
    <w:rsid w:val="00EE49F5"/>
    <w:rsid w:val="00EE5841"/>
    <w:rsid w:val="00EE6756"/>
    <w:rsid w:val="00EF2336"/>
    <w:rsid w:val="00EF36CC"/>
    <w:rsid w:val="00EF3A9D"/>
    <w:rsid w:val="00EF4143"/>
    <w:rsid w:val="00EF4AC6"/>
    <w:rsid w:val="00EF54CB"/>
    <w:rsid w:val="00EF7451"/>
    <w:rsid w:val="00F01DEF"/>
    <w:rsid w:val="00F026A1"/>
    <w:rsid w:val="00F03213"/>
    <w:rsid w:val="00F0422D"/>
    <w:rsid w:val="00F05E6B"/>
    <w:rsid w:val="00F06495"/>
    <w:rsid w:val="00F06AAD"/>
    <w:rsid w:val="00F06FDC"/>
    <w:rsid w:val="00F152BC"/>
    <w:rsid w:val="00F15BCB"/>
    <w:rsid w:val="00F172CA"/>
    <w:rsid w:val="00F209EB"/>
    <w:rsid w:val="00F22388"/>
    <w:rsid w:val="00F228AA"/>
    <w:rsid w:val="00F233F4"/>
    <w:rsid w:val="00F24E5B"/>
    <w:rsid w:val="00F252FD"/>
    <w:rsid w:val="00F25D3D"/>
    <w:rsid w:val="00F3015F"/>
    <w:rsid w:val="00F30F67"/>
    <w:rsid w:val="00F31ACE"/>
    <w:rsid w:val="00F32661"/>
    <w:rsid w:val="00F33D0A"/>
    <w:rsid w:val="00F33E04"/>
    <w:rsid w:val="00F34A5B"/>
    <w:rsid w:val="00F36AB1"/>
    <w:rsid w:val="00F37B66"/>
    <w:rsid w:val="00F41CDE"/>
    <w:rsid w:val="00F41F24"/>
    <w:rsid w:val="00F42A39"/>
    <w:rsid w:val="00F43602"/>
    <w:rsid w:val="00F43EFA"/>
    <w:rsid w:val="00F44198"/>
    <w:rsid w:val="00F460EC"/>
    <w:rsid w:val="00F46328"/>
    <w:rsid w:val="00F46E2F"/>
    <w:rsid w:val="00F470A2"/>
    <w:rsid w:val="00F47351"/>
    <w:rsid w:val="00F474AC"/>
    <w:rsid w:val="00F47725"/>
    <w:rsid w:val="00F47FAF"/>
    <w:rsid w:val="00F52399"/>
    <w:rsid w:val="00F542E5"/>
    <w:rsid w:val="00F558E0"/>
    <w:rsid w:val="00F55FC2"/>
    <w:rsid w:val="00F616DC"/>
    <w:rsid w:val="00F61914"/>
    <w:rsid w:val="00F634DB"/>
    <w:rsid w:val="00F64B78"/>
    <w:rsid w:val="00F65515"/>
    <w:rsid w:val="00F65F00"/>
    <w:rsid w:val="00F6685C"/>
    <w:rsid w:val="00F70871"/>
    <w:rsid w:val="00F717E6"/>
    <w:rsid w:val="00F724BC"/>
    <w:rsid w:val="00F72E08"/>
    <w:rsid w:val="00F749AB"/>
    <w:rsid w:val="00F763F2"/>
    <w:rsid w:val="00F77C09"/>
    <w:rsid w:val="00F80843"/>
    <w:rsid w:val="00F812A5"/>
    <w:rsid w:val="00F83CBF"/>
    <w:rsid w:val="00F84C62"/>
    <w:rsid w:val="00F85783"/>
    <w:rsid w:val="00F9420F"/>
    <w:rsid w:val="00F94BF7"/>
    <w:rsid w:val="00F9553E"/>
    <w:rsid w:val="00F9580F"/>
    <w:rsid w:val="00F9598D"/>
    <w:rsid w:val="00F9606C"/>
    <w:rsid w:val="00F97F41"/>
    <w:rsid w:val="00FA4874"/>
    <w:rsid w:val="00FA582B"/>
    <w:rsid w:val="00FA7932"/>
    <w:rsid w:val="00FA7A5E"/>
    <w:rsid w:val="00FA7E0F"/>
    <w:rsid w:val="00FB1328"/>
    <w:rsid w:val="00FB159A"/>
    <w:rsid w:val="00FB15B0"/>
    <w:rsid w:val="00FB2968"/>
    <w:rsid w:val="00FB364B"/>
    <w:rsid w:val="00FB5643"/>
    <w:rsid w:val="00FB7F30"/>
    <w:rsid w:val="00FC080A"/>
    <w:rsid w:val="00FC0C67"/>
    <w:rsid w:val="00FC0CF6"/>
    <w:rsid w:val="00FC1DED"/>
    <w:rsid w:val="00FC2BEE"/>
    <w:rsid w:val="00FC5722"/>
    <w:rsid w:val="00FC5AF0"/>
    <w:rsid w:val="00FC68BA"/>
    <w:rsid w:val="00FC6F6B"/>
    <w:rsid w:val="00FD04F2"/>
    <w:rsid w:val="00FD1912"/>
    <w:rsid w:val="00FD3C65"/>
    <w:rsid w:val="00FD4A48"/>
    <w:rsid w:val="00FD53CA"/>
    <w:rsid w:val="00FD591E"/>
    <w:rsid w:val="00FD6218"/>
    <w:rsid w:val="00FD67BB"/>
    <w:rsid w:val="00FD77B9"/>
    <w:rsid w:val="00FE177B"/>
    <w:rsid w:val="00FE1A4C"/>
    <w:rsid w:val="00FE2BA4"/>
    <w:rsid w:val="00FE4AA7"/>
    <w:rsid w:val="00FE4D3E"/>
    <w:rsid w:val="00FE4EA0"/>
    <w:rsid w:val="00FF06CB"/>
    <w:rsid w:val="00FF58FF"/>
    <w:rsid w:val="00FF63AD"/>
    <w:rsid w:val="00FF7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8A8"/>
    <w:pPr>
      <w:spacing w:after="0" w:line="240" w:lineRule="auto"/>
      <w:jc w:val="both"/>
    </w:pPr>
    <w:rPr>
      <w:rFonts w:ascii="Arial" w:hAnsi="Arial"/>
    </w:rPr>
  </w:style>
  <w:style w:type="paragraph" w:styleId="Heading1">
    <w:name w:val="heading 1"/>
    <w:basedOn w:val="Normal"/>
    <w:next w:val="Normal"/>
    <w:link w:val="Heading1Char"/>
    <w:qFormat/>
    <w:rsid w:val="000717A9"/>
    <w:pPr>
      <w:keepNext/>
      <w:jc w:val="left"/>
      <w:outlineLvl w:val="0"/>
    </w:pPr>
    <w:rPr>
      <w:rFonts w:eastAsia="Times New Roman" w:cs="Arial"/>
      <w:i/>
      <w:iCs/>
      <w:noProof/>
      <w:color w:val="0000FF"/>
      <w:sz w:val="20"/>
      <w:szCs w:val="24"/>
    </w:rPr>
  </w:style>
  <w:style w:type="paragraph" w:styleId="Heading2">
    <w:name w:val="heading 2"/>
    <w:basedOn w:val="Normal"/>
    <w:next w:val="Normal"/>
    <w:link w:val="Heading2Char"/>
    <w:qFormat/>
    <w:rsid w:val="000717A9"/>
    <w:pPr>
      <w:keepNext/>
      <w:spacing w:before="240" w:after="240"/>
      <w:jc w:val="left"/>
      <w:outlineLvl w:val="1"/>
    </w:pPr>
    <w:rPr>
      <w:rFonts w:eastAsia="Times New Roman" w:cs="Arial"/>
      <w:b/>
      <w:bCs/>
      <w:noProof/>
      <w:color w:val="000080"/>
      <w:sz w:val="20"/>
      <w:szCs w:val="24"/>
    </w:rPr>
  </w:style>
  <w:style w:type="paragraph" w:styleId="Heading4">
    <w:name w:val="heading 4"/>
    <w:basedOn w:val="Normal"/>
    <w:next w:val="Normal"/>
    <w:link w:val="Heading4Char"/>
    <w:qFormat/>
    <w:rsid w:val="000717A9"/>
    <w:pPr>
      <w:keepNext/>
      <w:spacing w:before="240" w:after="60"/>
      <w:jc w:val="left"/>
      <w:outlineLvl w:val="3"/>
    </w:pPr>
    <w:rPr>
      <w:rFonts w:ascii="Times New Roman" w:eastAsia="Times New Roman" w:hAnsi="Times New Roman" w:cs="Times New Roman"/>
      <w:b/>
      <w:bCs/>
      <w:sz w:val="28"/>
      <w:szCs w:val="28"/>
      <w:lang w:val="en-US"/>
    </w:rPr>
  </w:style>
  <w:style w:type="paragraph" w:styleId="Heading7">
    <w:name w:val="heading 7"/>
    <w:basedOn w:val="Normal"/>
    <w:next w:val="Normal"/>
    <w:link w:val="Heading7Char"/>
    <w:semiHidden/>
    <w:unhideWhenUsed/>
    <w:qFormat/>
    <w:rsid w:val="000717A9"/>
    <w:pPr>
      <w:spacing w:before="240" w:after="60"/>
      <w:jc w:val="left"/>
      <w:outlineLvl w:val="6"/>
    </w:pPr>
    <w:rPr>
      <w:rFonts w:ascii="Calibri" w:eastAsia="Times New Roman" w:hAnsi="Calibri"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5300B"/>
    <w:rPr>
      <w:rFonts w:ascii="Tahoma" w:hAnsi="Tahoma" w:cs="Tahoma"/>
      <w:sz w:val="16"/>
      <w:szCs w:val="16"/>
    </w:rPr>
  </w:style>
  <w:style w:type="character" w:customStyle="1" w:styleId="BalloonTextChar">
    <w:name w:val="Balloon Text Char"/>
    <w:basedOn w:val="DefaultParagraphFont"/>
    <w:link w:val="BalloonText"/>
    <w:rsid w:val="00E5300B"/>
    <w:rPr>
      <w:rFonts w:ascii="Tahoma" w:hAnsi="Tahoma" w:cs="Tahoma"/>
      <w:sz w:val="16"/>
      <w:szCs w:val="16"/>
    </w:rPr>
  </w:style>
  <w:style w:type="paragraph" w:customStyle="1" w:styleId="Default">
    <w:name w:val="Default"/>
    <w:rsid w:val="00C9114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Newsweek,dot point List Paragraph,Normal bullet 2"/>
    <w:basedOn w:val="Normal"/>
    <w:link w:val="ListParagraphChar"/>
    <w:uiPriority w:val="34"/>
    <w:qFormat/>
    <w:rsid w:val="00DC4886"/>
    <w:pPr>
      <w:ind w:left="720"/>
      <w:contextualSpacing/>
    </w:pPr>
  </w:style>
  <w:style w:type="paragraph" w:styleId="Header">
    <w:name w:val="header"/>
    <w:basedOn w:val="Normal"/>
    <w:link w:val="HeaderChar"/>
    <w:unhideWhenUsed/>
    <w:rsid w:val="00C4588F"/>
    <w:pPr>
      <w:tabs>
        <w:tab w:val="center" w:pos="4513"/>
        <w:tab w:val="right" w:pos="9026"/>
      </w:tabs>
    </w:pPr>
  </w:style>
  <w:style w:type="character" w:customStyle="1" w:styleId="HeaderChar">
    <w:name w:val="Header Char"/>
    <w:basedOn w:val="DefaultParagraphFont"/>
    <w:link w:val="Header"/>
    <w:uiPriority w:val="99"/>
    <w:rsid w:val="00C4588F"/>
    <w:rPr>
      <w:rFonts w:ascii="Arial" w:hAnsi="Arial"/>
    </w:rPr>
  </w:style>
  <w:style w:type="paragraph" w:styleId="Footer">
    <w:name w:val="footer"/>
    <w:basedOn w:val="Normal"/>
    <w:link w:val="FooterChar"/>
    <w:unhideWhenUsed/>
    <w:rsid w:val="00C4588F"/>
    <w:pPr>
      <w:tabs>
        <w:tab w:val="center" w:pos="4513"/>
        <w:tab w:val="right" w:pos="9026"/>
      </w:tabs>
    </w:pPr>
  </w:style>
  <w:style w:type="character" w:customStyle="1" w:styleId="FooterChar">
    <w:name w:val="Footer Char"/>
    <w:basedOn w:val="DefaultParagraphFont"/>
    <w:link w:val="Footer"/>
    <w:uiPriority w:val="99"/>
    <w:rsid w:val="00C4588F"/>
    <w:rPr>
      <w:rFonts w:ascii="Arial" w:hAnsi="Arial"/>
    </w:rPr>
  </w:style>
  <w:style w:type="character" w:customStyle="1" w:styleId="Heading1Char">
    <w:name w:val="Heading 1 Char"/>
    <w:basedOn w:val="DefaultParagraphFont"/>
    <w:link w:val="Heading1"/>
    <w:rsid w:val="000717A9"/>
    <w:rPr>
      <w:rFonts w:ascii="Arial" w:eastAsia="Times New Roman" w:hAnsi="Arial" w:cs="Arial"/>
      <w:i/>
      <w:iCs/>
      <w:noProof/>
      <w:color w:val="0000FF"/>
      <w:sz w:val="20"/>
      <w:szCs w:val="24"/>
    </w:rPr>
  </w:style>
  <w:style w:type="character" w:customStyle="1" w:styleId="Heading2Char">
    <w:name w:val="Heading 2 Char"/>
    <w:basedOn w:val="DefaultParagraphFont"/>
    <w:link w:val="Heading2"/>
    <w:rsid w:val="000717A9"/>
    <w:rPr>
      <w:rFonts w:ascii="Arial" w:eastAsia="Times New Roman" w:hAnsi="Arial" w:cs="Arial"/>
      <w:b/>
      <w:bCs/>
      <w:noProof/>
      <w:color w:val="000080"/>
      <w:sz w:val="20"/>
      <w:szCs w:val="24"/>
    </w:rPr>
  </w:style>
  <w:style w:type="character" w:customStyle="1" w:styleId="Heading4Char">
    <w:name w:val="Heading 4 Char"/>
    <w:basedOn w:val="DefaultParagraphFont"/>
    <w:link w:val="Heading4"/>
    <w:rsid w:val="000717A9"/>
    <w:rPr>
      <w:rFonts w:ascii="Times New Roman" w:eastAsia="Times New Roman" w:hAnsi="Times New Roman" w:cs="Times New Roman"/>
      <w:b/>
      <w:bCs/>
      <w:sz w:val="28"/>
      <w:szCs w:val="28"/>
      <w:lang w:val="en-US"/>
    </w:rPr>
  </w:style>
  <w:style w:type="character" w:customStyle="1" w:styleId="Heading7Char">
    <w:name w:val="Heading 7 Char"/>
    <w:basedOn w:val="DefaultParagraphFont"/>
    <w:link w:val="Heading7"/>
    <w:semiHidden/>
    <w:rsid w:val="000717A9"/>
    <w:rPr>
      <w:rFonts w:ascii="Calibri" w:eastAsia="Times New Roman" w:hAnsi="Calibri" w:cs="Times New Roman"/>
      <w:sz w:val="24"/>
      <w:szCs w:val="24"/>
      <w:lang w:val="en-US"/>
    </w:rPr>
  </w:style>
  <w:style w:type="numbering" w:customStyle="1" w:styleId="NoList1">
    <w:name w:val="No List1"/>
    <w:next w:val="NoList"/>
    <w:semiHidden/>
    <w:rsid w:val="000717A9"/>
  </w:style>
  <w:style w:type="table" w:styleId="TableGrid">
    <w:name w:val="Table Grid"/>
    <w:basedOn w:val="TableNormal"/>
    <w:rsid w:val="000717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717A9"/>
    <w:pPr>
      <w:jc w:val="center"/>
    </w:pPr>
    <w:rPr>
      <w:rFonts w:eastAsia="Times New Roman" w:cs="Times New Roman"/>
      <w:sz w:val="24"/>
      <w:szCs w:val="20"/>
      <w:u w:val="single"/>
      <w:lang w:val="en-US"/>
    </w:rPr>
  </w:style>
  <w:style w:type="character" w:customStyle="1" w:styleId="TitleChar">
    <w:name w:val="Title Char"/>
    <w:basedOn w:val="DefaultParagraphFont"/>
    <w:link w:val="Title"/>
    <w:rsid w:val="000717A9"/>
    <w:rPr>
      <w:rFonts w:ascii="Arial" w:eastAsia="Times New Roman" w:hAnsi="Arial" w:cs="Times New Roman"/>
      <w:sz w:val="24"/>
      <w:szCs w:val="20"/>
      <w:u w:val="single"/>
      <w:lang w:val="en-US"/>
    </w:rPr>
  </w:style>
  <w:style w:type="character" w:styleId="Emphasis">
    <w:name w:val="Emphasis"/>
    <w:qFormat/>
    <w:rsid w:val="000717A9"/>
    <w:rPr>
      <w:b/>
      <w:bCs/>
      <w:i w:val="0"/>
      <w:iCs w:val="0"/>
    </w:rPr>
  </w:style>
  <w:style w:type="character" w:styleId="Hyperlink">
    <w:name w:val="Hyperlink"/>
    <w:uiPriority w:val="99"/>
    <w:rsid w:val="000717A9"/>
    <w:rPr>
      <w:color w:val="0000FF"/>
      <w:u w:val="single"/>
    </w:rPr>
  </w:style>
  <w:style w:type="paragraph" w:styleId="BodyText">
    <w:name w:val="Body Text"/>
    <w:basedOn w:val="Normal"/>
    <w:link w:val="BodyTextChar"/>
    <w:rsid w:val="000717A9"/>
    <w:pPr>
      <w:tabs>
        <w:tab w:val="num" w:pos="1080"/>
      </w:tabs>
      <w:jc w:val="left"/>
    </w:pPr>
    <w:rPr>
      <w:rFonts w:eastAsia="Times New Roman" w:cs="Arial"/>
      <w:sz w:val="24"/>
      <w:szCs w:val="24"/>
      <w:lang w:eastAsia="en-GB"/>
    </w:rPr>
  </w:style>
  <w:style w:type="character" w:customStyle="1" w:styleId="BodyTextChar">
    <w:name w:val="Body Text Char"/>
    <w:basedOn w:val="DefaultParagraphFont"/>
    <w:link w:val="BodyText"/>
    <w:rsid w:val="000717A9"/>
    <w:rPr>
      <w:rFonts w:ascii="Arial" w:eastAsia="Times New Roman" w:hAnsi="Arial" w:cs="Arial"/>
      <w:sz w:val="24"/>
      <w:szCs w:val="24"/>
      <w:lang w:eastAsia="en-GB"/>
    </w:rPr>
  </w:style>
  <w:style w:type="paragraph" w:styleId="BodyText2">
    <w:name w:val="Body Text 2"/>
    <w:basedOn w:val="Normal"/>
    <w:link w:val="BodyText2Char"/>
    <w:rsid w:val="000717A9"/>
    <w:pPr>
      <w:tabs>
        <w:tab w:val="left" w:pos="567"/>
      </w:tabs>
    </w:pPr>
    <w:rPr>
      <w:rFonts w:eastAsia="Times New Roman" w:cs="Times New Roman"/>
      <w:b/>
      <w:bCs/>
      <w:szCs w:val="24"/>
    </w:rPr>
  </w:style>
  <w:style w:type="character" w:customStyle="1" w:styleId="BodyText2Char">
    <w:name w:val="Body Text 2 Char"/>
    <w:basedOn w:val="DefaultParagraphFont"/>
    <w:link w:val="BodyText2"/>
    <w:rsid w:val="000717A9"/>
    <w:rPr>
      <w:rFonts w:ascii="Arial" w:eastAsia="Times New Roman" w:hAnsi="Arial" w:cs="Times New Roman"/>
      <w:b/>
      <w:bCs/>
      <w:szCs w:val="24"/>
    </w:rPr>
  </w:style>
  <w:style w:type="character" w:styleId="PageNumber">
    <w:name w:val="page number"/>
    <w:basedOn w:val="DefaultParagraphFont"/>
    <w:rsid w:val="000717A9"/>
  </w:style>
  <w:style w:type="character" w:styleId="FollowedHyperlink">
    <w:name w:val="FollowedHyperlink"/>
    <w:uiPriority w:val="99"/>
    <w:rsid w:val="000717A9"/>
    <w:rPr>
      <w:color w:val="800080"/>
      <w:u w:val="single"/>
    </w:rPr>
  </w:style>
  <w:style w:type="paragraph" w:styleId="FootnoteText">
    <w:name w:val="footnote text"/>
    <w:basedOn w:val="Normal"/>
    <w:link w:val="FootnoteTextChar"/>
    <w:semiHidden/>
    <w:rsid w:val="000717A9"/>
    <w:pPr>
      <w:jc w:val="left"/>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0717A9"/>
    <w:rPr>
      <w:rFonts w:ascii="Times New Roman" w:eastAsia="Times New Roman" w:hAnsi="Times New Roman" w:cs="Times New Roman"/>
      <w:sz w:val="20"/>
      <w:szCs w:val="20"/>
      <w:lang w:eastAsia="en-GB"/>
    </w:rPr>
  </w:style>
  <w:style w:type="character" w:styleId="FootnoteReference">
    <w:name w:val="footnote reference"/>
    <w:semiHidden/>
    <w:rsid w:val="000717A9"/>
    <w:rPr>
      <w:vertAlign w:val="superscript"/>
    </w:rPr>
  </w:style>
  <w:style w:type="paragraph" w:styleId="DocumentMap">
    <w:name w:val="Document Map"/>
    <w:basedOn w:val="Normal"/>
    <w:link w:val="DocumentMapChar"/>
    <w:semiHidden/>
    <w:rsid w:val="000717A9"/>
    <w:pPr>
      <w:shd w:val="clear" w:color="auto" w:fill="000080"/>
      <w:jc w:val="left"/>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0717A9"/>
    <w:rPr>
      <w:rFonts w:ascii="Tahoma" w:eastAsia="Times New Roman" w:hAnsi="Tahoma" w:cs="Tahoma"/>
      <w:sz w:val="20"/>
      <w:szCs w:val="20"/>
      <w:shd w:val="clear" w:color="auto" w:fill="000080"/>
      <w:lang w:val="en-US"/>
    </w:rPr>
  </w:style>
  <w:style w:type="paragraph" w:styleId="NormalWeb">
    <w:name w:val="Normal (Web)"/>
    <w:basedOn w:val="Normal"/>
    <w:rsid w:val="000717A9"/>
    <w:pPr>
      <w:spacing w:before="100" w:beforeAutospacing="1" w:after="100" w:afterAutospacing="1"/>
      <w:jc w:val="left"/>
    </w:pPr>
    <w:rPr>
      <w:rFonts w:ascii="Times New Roman" w:eastAsia="Times New Roman" w:hAnsi="Times New Roman" w:cs="Times New Roman"/>
      <w:sz w:val="24"/>
      <w:szCs w:val="24"/>
      <w:lang w:val="en-US"/>
    </w:rPr>
  </w:style>
  <w:style w:type="table" w:styleId="LightList-Accent1">
    <w:name w:val="Light List Accent 1"/>
    <w:basedOn w:val="TableNormal"/>
    <w:uiPriority w:val="61"/>
    <w:rsid w:val="00A05C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YBodytextwithparaspace">
    <w:name w:val="EY Body text (with para space)"/>
    <w:basedOn w:val="Normal"/>
    <w:link w:val="EYBodytextwithparaspaceChar"/>
    <w:rsid w:val="00A24E64"/>
    <w:pPr>
      <w:suppressAutoHyphens/>
      <w:spacing w:after="240"/>
      <w:jc w:val="left"/>
    </w:pPr>
    <w:rPr>
      <w:rFonts w:eastAsia="Times New Roman" w:cs="Times New Roman"/>
      <w:kern w:val="12"/>
      <w:sz w:val="20"/>
      <w:szCs w:val="24"/>
    </w:rPr>
  </w:style>
  <w:style w:type="character" w:customStyle="1" w:styleId="EYBodytextwithparaspaceChar">
    <w:name w:val="EY Body text (with para space) Char"/>
    <w:basedOn w:val="DefaultParagraphFont"/>
    <w:link w:val="EYBodytextwithparaspace"/>
    <w:rsid w:val="00A24E64"/>
    <w:rPr>
      <w:rFonts w:ascii="Arial" w:eastAsia="Times New Roman" w:hAnsi="Arial" w:cs="Times New Roman"/>
      <w:kern w:val="12"/>
      <w:sz w:val="20"/>
      <w:szCs w:val="24"/>
    </w:rPr>
  </w:style>
  <w:style w:type="character" w:customStyle="1" w:styleId="ListParagraphChar">
    <w:name w:val="List Paragraph Char"/>
    <w:aliases w:val="Newsweek Char,dot point List Paragraph Char,Normal bullet 2 Char"/>
    <w:link w:val="ListParagraph"/>
    <w:uiPriority w:val="34"/>
    <w:rsid w:val="00A24E64"/>
    <w:rPr>
      <w:rFonts w:ascii="Arial" w:hAnsi="Arial"/>
    </w:rPr>
  </w:style>
  <w:style w:type="paragraph" w:customStyle="1" w:styleId="font5">
    <w:name w:val="font5"/>
    <w:basedOn w:val="Normal"/>
    <w:rsid w:val="00147246"/>
    <w:pPr>
      <w:spacing w:before="100" w:beforeAutospacing="1" w:after="100" w:afterAutospacing="1"/>
      <w:jc w:val="left"/>
    </w:pPr>
    <w:rPr>
      <w:rFonts w:eastAsia="Times New Roman" w:cs="Arial"/>
      <w:b/>
      <w:bCs/>
      <w:color w:val="FF0000"/>
      <w:lang w:eastAsia="en-GB"/>
    </w:rPr>
  </w:style>
  <w:style w:type="paragraph" w:customStyle="1" w:styleId="xl61565">
    <w:name w:val="xl61565"/>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6">
    <w:name w:val="xl61566"/>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7">
    <w:name w:val="xl61567"/>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8">
    <w:name w:val="xl61568"/>
    <w:basedOn w:val="Normal"/>
    <w:rsid w:val="00147246"/>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69">
    <w:name w:val="xl61569"/>
    <w:basedOn w:val="Normal"/>
    <w:rsid w:val="00147246"/>
    <w:pPr>
      <w:pBdr>
        <w:left w:val="single" w:sz="4"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0">
    <w:name w:val="xl61570"/>
    <w:basedOn w:val="Normal"/>
    <w:rsid w:val="00147246"/>
    <w:pPr>
      <w:pBdr>
        <w:left w:val="single" w:sz="4"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1">
    <w:name w:val="xl61571"/>
    <w:basedOn w:val="Normal"/>
    <w:rsid w:val="00147246"/>
    <w:pPr>
      <w:pBdr>
        <w:left w:val="single" w:sz="8"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2">
    <w:name w:val="xl61572"/>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73">
    <w:name w:val="xl61573"/>
    <w:basedOn w:val="Normal"/>
    <w:rsid w:val="0014724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574">
    <w:name w:val="xl61574"/>
    <w:basedOn w:val="Normal"/>
    <w:rsid w:val="001472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75">
    <w:name w:val="xl61575"/>
    <w:basedOn w:val="Normal"/>
    <w:rsid w:val="001472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576">
    <w:name w:val="xl61576"/>
    <w:basedOn w:val="Normal"/>
    <w:rsid w:val="0014724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77">
    <w:name w:val="xl61577"/>
    <w:basedOn w:val="Normal"/>
    <w:rsid w:val="0014724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8">
    <w:name w:val="xl61578"/>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79">
    <w:name w:val="xl61579"/>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80">
    <w:name w:val="xl61580"/>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lang w:eastAsia="en-GB"/>
    </w:rPr>
  </w:style>
  <w:style w:type="paragraph" w:customStyle="1" w:styleId="xl61581">
    <w:name w:val="xl61581"/>
    <w:basedOn w:val="Normal"/>
    <w:rsid w:val="00147246"/>
    <w:pPr>
      <w:pBdr>
        <w:left w:val="single" w:sz="8" w:space="0" w:color="auto"/>
        <w:bottom w:val="single" w:sz="8" w:space="0" w:color="auto"/>
        <w:right w:val="single" w:sz="8" w:space="0" w:color="auto"/>
      </w:pBdr>
      <w:shd w:val="clear" w:color="000000" w:fill="C0C0C0"/>
      <w:spacing w:before="100" w:beforeAutospacing="1" w:after="100" w:afterAutospacing="1"/>
      <w:jc w:val="left"/>
    </w:pPr>
    <w:rPr>
      <w:rFonts w:eastAsia="Times New Roman" w:cs="Arial"/>
      <w:b/>
      <w:bCs/>
      <w:lang w:eastAsia="en-GB"/>
    </w:rPr>
  </w:style>
  <w:style w:type="paragraph" w:customStyle="1" w:styleId="xl61582">
    <w:name w:val="xl61582"/>
    <w:basedOn w:val="Normal"/>
    <w:rsid w:val="00147246"/>
    <w:pPr>
      <w:pBdr>
        <w:left w:val="single" w:sz="8"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583">
    <w:name w:val="xl61583"/>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584">
    <w:name w:val="xl61584"/>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left"/>
      <w:textAlignment w:val="center"/>
    </w:pPr>
    <w:rPr>
      <w:rFonts w:eastAsia="Times New Roman" w:cs="Arial"/>
      <w:b/>
      <w:bCs/>
      <w:color w:val="000000"/>
      <w:lang w:eastAsia="en-GB"/>
    </w:rPr>
  </w:style>
  <w:style w:type="paragraph" w:customStyle="1" w:styleId="xl61585">
    <w:name w:val="xl61585"/>
    <w:basedOn w:val="Normal"/>
    <w:rsid w:val="0014724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top"/>
    </w:pPr>
    <w:rPr>
      <w:rFonts w:eastAsia="Times New Roman" w:cs="Arial"/>
      <w:b/>
      <w:bCs/>
      <w:color w:val="000000"/>
      <w:lang w:eastAsia="en-GB"/>
    </w:rPr>
  </w:style>
  <w:style w:type="paragraph" w:customStyle="1" w:styleId="xl61586">
    <w:name w:val="xl61586"/>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87">
    <w:name w:val="xl61587"/>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88">
    <w:name w:val="xl61588"/>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89">
    <w:name w:val="xl61589"/>
    <w:basedOn w:val="Normal"/>
    <w:rsid w:val="00147246"/>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90">
    <w:name w:val="xl61590"/>
    <w:basedOn w:val="Normal"/>
    <w:rsid w:val="00147246"/>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91">
    <w:name w:val="xl61591"/>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2">
    <w:name w:val="xl61592"/>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3">
    <w:name w:val="xl61593"/>
    <w:basedOn w:val="Normal"/>
    <w:rsid w:val="0014724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94">
    <w:name w:val="xl61594"/>
    <w:basedOn w:val="Normal"/>
    <w:rsid w:val="0014724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5">
    <w:name w:val="xl61595"/>
    <w:basedOn w:val="Normal"/>
    <w:rsid w:val="0014724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6">
    <w:name w:val="xl61596"/>
    <w:basedOn w:val="Normal"/>
    <w:rsid w:val="0014724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7">
    <w:name w:val="xl61597"/>
    <w:basedOn w:val="Normal"/>
    <w:rsid w:val="0014724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8">
    <w:name w:val="xl61598"/>
    <w:basedOn w:val="Normal"/>
    <w:rsid w:val="0014724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9">
    <w:name w:val="xl61599"/>
    <w:basedOn w:val="Normal"/>
    <w:rsid w:val="00147246"/>
    <w:pPr>
      <w:pBdr>
        <w:left w:val="single" w:sz="8" w:space="0" w:color="auto"/>
        <w:right w:val="single" w:sz="8" w:space="0" w:color="auto"/>
      </w:pBdr>
      <w:spacing w:before="100" w:beforeAutospacing="1" w:after="100" w:afterAutospacing="1"/>
      <w:jc w:val="left"/>
    </w:pPr>
    <w:rPr>
      <w:rFonts w:eastAsia="Times New Roman" w:cs="Arial"/>
      <w:lang w:eastAsia="en-GB"/>
    </w:rPr>
  </w:style>
  <w:style w:type="paragraph" w:customStyle="1" w:styleId="xl61600">
    <w:name w:val="xl61600"/>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lang w:eastAsia="en-GB"/>
    </w:rPr>
  </w:style>
  <w:style w:type="paragraph" w:customStyle="1" w:styleId="xl61601">
    <w:name w:val="xl61601"/>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2">
    <w:name w:val="xl61602"/>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3">
    <w:name w:val="xl61603"/>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4">
    <w:name w:val="xl61604"/>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5">
    <w:name w:val="xl61605"/>
    <w:basedOn w:val="Normal"/>
    <w:rsid w:val="00147246"/>
    <w:pPr>
      <w:pBdr>
        <w:top w:val="single" w:sz="4" w:space="0" w:color="auto"/>
        <w:left w:val="single" w:sz="8"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606">
    <w:name w:val="xl61606"/>
    <w:basedOn w:val="Normal"/>
    <w:rsid w:val="00147246"/>
    <w:pPr>
      <w:spacing w:before="100" w:beforeAutospacing="1" w:after="100" w:afterAutospacing="1"/>
      <w:jc w:val="left"/>
    </w:pPr>
    <w:rPr>
      <w:rFonts w:eastAsia="Times New Roman" w:cs="Arial"/>
      <w:lang w:eastAsia="en-GB"/>
    </w:rPr>
  </w:style>
  <w:style w:type="paragraph" w:customStyle="1" w:styleId="xl61607">
    <w:name w:val="xl61607"/>
    <w:basedOn w:val="Normal"/>
    <w:rsid w:val="00147246"/>
    <w:pPr>
      <w:spacing w:before="100" w:beforeAutospacing="1" w:after="100" w:afterAutospacing="1"/>
      <w:jc w:val="center"/>
      <w:textAlignment w:val="top"/>
    </w:pPr>
    <w:rPr>
      <w:rFonts w:eastAsia="Times New Roman" w:cs="Arial"/>
      <w:sz w:val="24"/>
      <w:szCs w:val="24"/>
      <w:lang w:eastAsia="en-GB"/>
    </w:rPr>
  </w:style>
  <w:style w:type="paragraph" w:customStyle="1" w:styleId="xl61608">
    <w:name w:val="xl61608"/>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609">
    <w:name w:val="xl61609"/>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610">
    <w:name w:val="xl61610"/>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611">
    <w:name w:val="xl61611"/>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612">
    <w:name w:val="xl61612"/>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3">
    <w:name w:val="xl61613"/>
    <w:basedOn w:val="Normal"/>
    <w:rsid w:val="00147246"/>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4">
    <w:name w:val="xl61614"/>
    <w:basedOn w:val="Normal"/>
    <w:rsid w:val="00147246"/>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5">
    <w:name w:val="xl61615"/>
    <w:basedOn w:val="Normal"/>
    <w:rsid w:val="00147246"/>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6">
    <w:name w:val="xl61616"/>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lang w:eastAsia="en-GB"/>
    </w:rPr>
  </w:style>
  <w:style w:type="paragraph" w:customStyle="1" w:styleId="xl61617">
    <w:name w:val="xl61617"/>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18">
    <w:name w:val="xl61618"/>
    <w:basedOn w:val="Normal"/>
    <w:rsid w:val="00147246"/>
    <w:pPr>
      <w:pBdr>
        <w:left w:val="single" w:sz="8" w:space="0" w:color="auto"/>
        <w:right w:val="single" w:sz="8" w:space="0" w:color="auto"/>
      </w:pBdr>
      <w:spacing w:before="100" w:beforeAutospacing="1" w:after="100" w:afterAutospacing="1"/>
      <w:jc w:val="left"/>
    </w:pPr>
    <w:rPr>
      <w:rFonts w:eastAsia="Times New Roman" w:cs="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8A8"/>
    <w:pPr>
      <w:spacing w:after="0" w:line="240" w:lineRule="auto"/>
      <w:jc w:val="both"/>
    </w:pPr>
    <w:rPr>
      <w:rFonts w:ascii="Arial" w:hAnsi="Arial"/>
    </w:rPr>
  </w:style>
  <w:style w:type="paragraph" w:styleId="Heading1">
    <w:name w:val="heading 1"/>
    <w:basedOn w:val="Normal"/>
    <w:next w:val="Normal"/>
    <w:link w:val="Heading1Char"/>
    <w:qFormat/>
    <w:rsid w:val="000717A9"/>
    <w:pPr>
      <w:keepNext/>
      <w:jc w:val="left"/>
      <w:outlineLvl w:val="0"/>
    </w:pPr>
    <w:rPr>
      <w:rFonts w:eastAsia="Times New Roman" w:cs="Arial"/>
      <w:i/>
      <w:iCs/>
      <w:noProof/>
      <w:color w:val="0000FF"/>
      <w:sz w:val="20"/>
      <w:szCs w:val="24"/>
    </w:rPr>
  </w:style>
  <w:style w:type="paragraph" w:styleId="Heading2">
    <w:name w:val="heading 2"/>
    <w:basedOn w:val="Normal"/>
    <w:next w:val="Normal"/>
    <w:link w:val="Heading2Char"/>
    <w:qFormat/>
    <w:rsid w:val="000717A9"/>
    <w:pPr>
      <w:keepNext/>
      <w:spacing w:before="240" w:after="240"/>
      <w:jc w:val="left"/>
      <w:outlineLvl w:val="1"/>
    </w:pPr>
    <w:rPr>
      <w:rFonts w:eastAsia="Times New Roman" w:cs="Arial"/>
      <w:b/>
      <w:bCs/>
      <w:noProof/>
      <w:color w:val="000080"/>
      <w:sz w:val="20"/>
      <w:szCs w:val="24"/>
    </w:rPr>
  </w:style>
  <w:style w:type="paragraph" w:styleId="Heading4">
    <w:name w:val="heading 4"/>
    <w:basedOn w:val="Normal"/>
    <w:next w:val="Normal"/>
    <w:link w:val="Heading4Char"/>
    <w:qFormat/>
    <w:rsid w:val="000717A9"/>
    <w:pPr>
      <w:keepNext/>
      <w:spacing w:before="240" w:after="60"/>
      <w:jc w:val="left"/>
      <w:outlineLvl w:val="3"/>
    </w:pPr>
    <w:rPr>
      <w:rFonts w:ascii="Times New Roman" w:eastAsia="Times New Roman" w:hAnsi="Times New Roman" w:cs="Times New Roman"/>
      <w:b/>
      <w:bCs/>
      <w:sz w:val="28"/>
      <w:szCs w:val="28"/>
      <w:lang w:val="en-US"/>
    </w:rPr>
  </w:style>
  <w:style w:type="paragraph" w:styleId="Heading7">
    <w:name w:val="heading 7"/>
    <w:basedOn w:val="Normal"/>
    <w:next w:val="Normal"/>
    <w:link w:val="Heading7Char"/>
    <w:semiHidden/>
    <w:unhideWhenUsed/>
    <w:qFormat/>
    <w:rsid w:val="000717A9"/>
    <w:pPr>
      <w:spacing w:before="240" w:after="60"/>
      <w:jc w:val="left"/>
      <w:outlineLvl w:val="6"/>
    </w:pPr>
    <w:rPr>
      <w:rFonts w:ascii="Calibri" w:eastAsia="Times New Roman" w:hAnsi="Calibri"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5300B"/>
    <w:rPr>
      <w:rFonts w:ascii="Tahoma" w:hAnsi="Tahoma" w:cs="Tahoma"/>
      <w:sz w:val="16"/>
      <w:szCs w:val="16"/>
    </w:rPr>
  </w:style>
  <w:style w:type="character" w:customStyle="1" w:styleId="BalloonTextChar">
    <w:name w:val="Balloon Text Char"/>
    <w:basedOn w:val="DefaultParagraphFont"/>
    <w:link w:val="BalloonText"/>
    <w:rsid w:val="00E5300B"/>
    <w:rPr>
      <w:rFonts w:ascii="Tahoma" w:hAnsi="Tahoma" w:cs="Tahoma"/>
      <w:sz w:val="16"/>
      <w:szCs w:val="16"/>
    </w:rPr>
  </w:style>
  <w:style w:type="paragraph" w:customStyle="1" w:styleId="Default">
    <w:name w:val="Default"/>
    <w:rsid w:val="00C9114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Newsweek,dot point List Paragraph,Normal bullet 2"/>
    <w:basedOn w:val="Normal"/>
    <w:link w:val="ListParagraphChar"/>
    <w:uiPriority w:val="34"/>
    <w:qFormat/>
    <w:rsid w:val="00DC4886"/>
    <w:pPr>
      <w:ind w:left="720"/>
      <w:contextualSpacing/>
    </w:pPr>
  </w:style>
  <w:style w:type="paragraph" w:styleId="Header">
    <w:name w:val="header"/>
    <w:basedOn w:val="Normal"/>
    <w:link w:val="HeaderChar"/>
    <w:unhideWhenUsed/>
    <w:rsid w:val="00C4588F"/>
    <w:pPr>
      <w:tabs>
        <w:tab w:val="center" w:pos="4513"/>
        <w:tab w:val="right" w:pos="9026"/>
      </w:tabs>
    </w:pPr>
  </w:style>
  <w:style w:type="character" w:customStyle="1" w:styleId="HeaderChar">
    <w:name w:val="Header Char"/>
    <w:basedOn w:val="DefaultParagraphFont"/>
    <w:link w:val="Header"/>
    <w:uiPriority w:val="99"/>
    <w:rsid w:val="00C4588F"/>
    <w:rPr>
      <w:rFonts w:ascii="Arial" w:hAnsi="Arial"/>
    </w:rPr>
  </w:style>
  <w:style w:type="paragraph" w:styleId="Footer">
    <w:name w:val="footer"/>
    <w:basedOn w:val="Normal"/>
    <w:link w:val="FooterChar"/>
    <w:unhideWhenUsed/>
    <w:rsid w:val="00C4588F"/>
    <w:pPr>
      <w:tabs>
        <w:tab w:val="center" w:pos="4513"/>
        <w:tab w:val="right" w:pos="9026"/>
      </w:tabs>
    </w:pPr>
  </w:style>
  <w:style w:type="character" w:customStyle="1" w:styleId="FooterChar">
    <w:name w:val="Footer Char"/>
    <w:basedOn w:val="DefaultParagraphFont"/>
    <w:link w:val="Footer"/>
    <w:uiPriority w:val="99"/>
    <w:rsid w:val="00C4588F"/>
    <w:rPr>
      <w:rFonts w:ascii="Arial" w:hAnsi="Arial"/>
    </w:rPr>
  </w:style>
  <w:style w:type="character" w:customStyle="1" w:styleId="Heading1Char">
    <w:name w:val="Heading 1 Char"/>
    <w:basedOn w:val="DefaultParagraphFont"/>
    <w:link w:val="Heading1"/>
    <w:rsid w:val="000717A9"/>
    <w:rPr>
      <w:rFonts w:ascii="Arial" w:eastAsia="Times New Roman" w:hAnsi="Arial" w:cs="Arial"/>
      <w:i/>
      <w:iCs/>
      <w:noProof/>
      <w:color w:val="0000FF"/>
      <w:sz w:val="20"/>
      <w:szCs w:val="24"/>
    </w:rPr>
  </w:style>
  <w:style w:type="character" w:customStyle="1" w:styleId="Heading2Char">
    <w:name w:val="Heading 2 Char"/>
    <w:basedOn w:val="DefaultParagraphFont"/>
    <w:link w:val="Heading2"/>
    <w:rsid w:val="000717A9"/>
    <w:rPr>
      <w:rFonts w:ascii="Arial" w:eastAsia="Times New Roman" w:hAnsi="Arial" w:cs="Arial"/>
      <w:b/>
      <w:bCs/>
      <w:noProof/>
      <w:color w:val="000080"/>
      <w:sz w:val="20"/>
      <w:szCs w:val="24"/>
    </w:rPr>
  </w:style>
  <w:style w:type="character" w:customStyle="1" w:styleId="Heading4Char">
    <w:name w:val="Heading 4 Char"/>
    <w:basedOn w:val="DefaultParagraphFont"/>
    <w:link w:val="Heading4"/>
    <w:rsid w:val="000717A9"/>
    <w:rPr>
      <w:rFonts w:ascii="Times New Roman" w:eastAsia="Times New Roman" w:hAnsi="Times New Roman" w:cs="Times New Roman"/>
      <w:b/>
      <w:bCs/>
      <w:sz w:val="28"/>
      <w:szCs w:val="28"/>
      <w:lang w:val="en-US"/>
    </w:rPr>
  </w:style>
  <w:style w:type="character" w:customStyle="1" w:styleId="Heading7Char">
    <w:name w:val="Heading 7 Char"/>
    <w:basedOn w:val="DefaultParagraphFont"/>
    <w:link w:val="Heading7"/>
    <w:semiHidden/>
    <w:rsid w:val="000717A9"/>
    <w:rPr>
      <w:rFonts w:ascii="Calibri" w:eastAsia="Times New Roman" w:hAnsi="Calibri" w:cs="Times New Roman"/>
      <w:sz w:val="24"/>
      <w:szCs w:val="24"/>
      <w:lang w:val="en-US"/>
    </w:rPr>
  </w:style>
  <w:style w:type="numbering" w:customStyle="1" w:styleId="NoList1">
    <w:name w:val="No List1"/>
    <w:next w:val="NoList"/>
    <w:semiHidden/>
    <w:rsid w:val="000717A9"/>
  </w:style>
  <w:style w:type="table" w:styleId="TableGrid">
    <w:name w:val="Table Grid"/>
    <w:basedOn w:val="TableNormal"/>
    <w:rsid w:val="000717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717A9"/>
    <w:pPr>
      <w:jc w:val="center"/>
    </w:pPr>
    <w:rPr>
      <w:rFonts w:eastAsia="Times New Roman" w:cs="Times New Roman"/>
      <w:sz w:val="24"/>
      <w:szCs w:val="20"/>
      <w:u w:val="single"/>
      <w:lang w:val="en-US"/>
    </w:rPr>
  </w:style>
  <w:style w:type="character" w:customStyle="1" w:styleId="TitleChar">
    <w:name w:val="Title Char"/>
    <w:basedOn w:val="DefaultParagraphFont"/>
    <w:link w:val="Title"/>
    <w:rsid w:val="000717A9"/>
    <w:rPr>
      <w:rFonts w:ascii="Arial" w:eastAsia="Times New Roman" w:hAnsi="Arial" w:cs="Times New Roman"/>
      <w:sz w:val="24"/>
      <w:szCs w:val="20"/>
      <w:u w:val="single"/>
      <w:lang w:val="en-US"/>
    </w:rPr>
  </w:style>
  <w:style w:type="character" w:styleId="Emphasis">
    <w:name w:val="Emphasis"/>
    <w:qFormat/>
    <w:rsid w:val="000717A9"/>
    <w:rPr>
      <w:b/>
      <w:bCs/>
      <w:i w:val="0"/>
      <w:iCs w:val="0"/>
    </w:rPr>
  </w:style>
  <w:style w:type="character" w:styleId="Hyperlink">
    <w:name w:val="Hyperlink"/>
    <w:uiPriority w:val="99"/>
    <w:rsid w:val="000717A9"/>
    <w:rPr>
      <w:color w:val="0000FF"/>
      <w:u w:val="single"/>
    </w:rPr>
  </w:style>
  <w:style w:type="paragraph" w:styleId="BodyText">
    <w:name w:val="Body Text"/>
    <w:basedOn w:val="Normal"/>
    <w:link w:val="BodyTextChar"/>
    <w:rsid w:val="000717A9"/>
    <w:pPr>
      <w:tabs>
        <w:tab w:val="num" w:pos="1080"/>
      </w:tabs>
      <w:jc w:val="left"/>
    </w:pPr>
    <w:rPr>
      <w:rFonts w:eastAsia="Times New Roman" w:cs="Arial"/>
      <w:sz w:val="24"/>
      <w:szCs w:val="24"/>
      <w:lang w:eastAsia="en-GB"/>
    </w:rPr>
  </w:style>
  <w:style w:type="character" w:customStyle="1" w:styleId="BodyTextChar">
    <w:name w:val="Body Text Char"/>
    <w:basedOn w:val="DefaultParagraphFont"/>
    <w:link w:val="BodyText"/>
    <w:rsid w:val="000717A9"/>
    <w:rPr>
      <w:rFonts w:ascii="Arial" w:eastAsia="Times New Roman" w:hAnsi="Arial" w:cs="Arial"/>
      <w:sz w:val="24"/>
      <w:szCs w:val="24"/>
      <w:lang w:eastAsia="en-GB"/>
    </w:rPr>
  </w:style>
  <w:style w:type="paragraph" w:styleId="BodyText2">
    <w:name w:val="Body Text 2"/>
    <w:basedOn w:val="Normal"/>
    <w:link w:val="BodyText2Char"/>
    <w:rsid w:val="000717A9"/>
    <w:pPr>
      <w:tabs>
        <w:tab w:val="left" w:pos="567"/>
      </w:tabs>
    </w:pPr>
    <w:rPr>
      <w:rFonts w:eastAsia="Times New Roman" w:cs="Times New Roman"/>
      <w:b/>
      <w:bCs/>
      <w:szCs w:val="24"/>
    </w:rPr>
  </w:style>
  <w:style w:type="character" w:customStyle="1" w:styleId="BodyText2Char">
    <w:name w:val="Body Text 2 Char"/>
    <w:basedOn w:val="DefaultParagraphFont"/>
    <w:link w:val="BodyText2"/>
    <w:rsid w:val="000717A9"/>
    <w:rPr>
      <w:rFonts w:ascii="Arial" w:eastAsia="Times New Roman" w:hAnsi="Arial" w:cs="Times New Roman"/>
      <w:b/>
      <w:bCs/>
      <w:szCs w:val="24"/>
    </w:rPr>
  </w:style>
  <w:style w:type="character" w:styleId="PageNumber">
    <w:name w:val="page number"/>
    <w:basedOn w:val="DefaultParagraphFont"/>
    <w:rsid w:val="000717A9"/>
  </w:style>
  <w:style w:type="character" w:styleId="FollowedHyperlink">
    <w:name w:val="FollowedHyperlink"/>
    <w:uiPriority w:val="99"/>
    <w:rsid w:val="000717A9"/>
    <w:rPr>
      <w:color w:val="800080"/>
      <w:u w:val="single"/>
    </w:rPr>
  </w:style>
  <w:style w:type="paragraph" w:styleId="FootnoteText">
    <w:name w:val="footnote text"/>
    <w:basedOn w:val="Normal"/>
    <w:link w:val="FootnoteTextChar"/>
    <w:semiHidden/>
    <w:rsid w:val="000717A9"/>
    <w:pPr>
      <w:jc w:val="left"/>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0717A9"/>
    <w:rPr>
      <w:rFonts w:ascii="Times New Roman" w:eastAsia="Times New Roman" w:hAnsi="Times New Roman" w:cs="Times New Roman"/>
      <w:sz w:val="20"/>
      <w:szCs w:val="20"/>
      <w:lang w:eastAsia="en-GB"/>
    </w:rPr>
  </w:style>
  <w:style w:type="character" w:styleId="FootnoteReference">
    <w:name w:val="footnote reference"/>
    <w:semiHidden/>
    <w:rsid w:val="000717A9"/>
    <w:rPr>
      <w:vertAlign w:val="superscript"/>
    </w:rPr>
  </w:style>
  <w:style w:type="paragraph" w:styleId="DocumentMap">
    <w:name w:val="Document Map"/>
    <w:basedOn w:val="Normal"/>
    <w:link w:val="DocumentMapChar"/>
    <w:semiHidden/>
    <w:rsid w:val="000717A9"/>
    <w:pPr>
      <w:shd w:val="clear" w:color="auto" w:fill="000080"/>
      <w:jc w:val="left"/>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0717A9"/>
    <w:rPr>
      <w:rFonts w:ascii="Tahoma" w:eastAsia="Times New Roman" w:hAnsi="Tahoma" w:cs="Tahoma"/>
      <w:sz w:val="20"/>
      <w:szCs w:val="20"/>
      <w:shd w:val="clear" w:color="auto" w:fill="000080"/>
      <w:lang w:val="en-US"/>
    </w:rPr>
  </w:style>
  <w:style w:type="paragraph" w:styleId="NormalWeb">
    <w:name w:val="Normal (Web)"/>
    <w:basedOn w:val="Normal"/>
    <w:rsid w:val="000717A9"/>
    <w:pPr>
      <w:spacing w:before="100" w:beforeAutospacing="1" w:after="100" w:afterAutospacing="1"/>
      <w:jc w:val="left"/>
    </w:pPr>
    <w:rPr>
      <w:rFonts w:ascii="Times New Roman" w:eastAsia="Times New Roman" w:hAnsi="Times New Roman" w:cs="Times New Roman"/>
      <w:sz w:val="24"/>
      <w:szCs w:val="24"/>
      <w:lang w:val="en-US"/>
    </w:rPr>
  </w:style>
  <w:style w:type="table" w:styleId="LightList-Accent1">
    <w:name w:val="Light List Accent 1"/>
    <w:basedOn w:val="TableNormal"/>
    <w:uiPriority w:val="61"/>
    <w:rsid w:val="00A05C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YBodytextwithparaspace">
    <w:name w:val="EY Body text (with para space)"/>
    <w:basedOn w:val="Normal"/>
    <w:link w:val="EYBodytextwithparaspaceChar"/>
    <w:rsid w:val="00A24E64"/>
    <w:pPr>
      <w:suppressAutoHyphens/>
      <w:spacing w:after="240"/>
      <w:jc w:val="left"/>
    </w:pPr>
    <w:rPr>
      <w:rFonts w:eastAsia="Times New Roman" w:cs="Times New Roman"/>
      <w:kern w:val="12"/>
      <w:sz w:val="20"/>
      <w:szCs w:val="24"/>
    </w:rPr>
  </w:style>
  <w:style w:type="character" w:customStyle="1" w:styleId="EYBodytextwithparaspaceChar">
    <w:name w:val="EY Body text (with para space) Char"/>
    <w:basedOn w:val="DefaultParagraphFont"/>
    <w:link w:val="EYBodytextwithparaspace"/>
    <w:rsid w:val="00A24E64"/>
    <w:rPr>
      <w:rFonts w:ascii="Arial" w:eastAsia="Times New Roman" w:hAnsi="Arial" w:cs="Times New Roman"/>
      <w:kern w:val="12"/>
      <w:sz w:val="20"/>
      <w:szCs w:val="24"/>
    </w:rPr>
  </w:style>
  <w:style w:type="character" w:customStyle="1" w:styleId="ListParagraphChar">
    <w:name w:val="List Paragraph Char"/>
    <w:aliases w:val="Newsweek Char,dot point List Paragraph Char,Normal bullet 2 Char"/>
    <w:link w:val="ListParagraph"/>
    <w:uiPriority w:val="34"/>
    <w:rsid w:val="00A24E64"/>
    <w:rPr>
      <w:rFonts w:ascii="Arial" w:hAnsi="Arial"/>
    </w:rPr>
  </w:style>
  <w:style w:type="paragraph" w:customStyle="1" w:styleId="font5">
    <w:name w:val="font5"/>
    <w:basedOn w:val="Normal"/>
    <w:rsid w:val="00147246"/>
    <w:pPr>
      <w:spacing w:before="100" w:beforeAutospacing="1" w:after="100" w:afterAutospacing="1"/>
      <w:jc w:val="left"/>
    </w:pPr>
    <w:rPr>
      <w:rFonts w:eastAsia="Times New Roman" w:cs="Arial"/>
      <w:b/>
      <w:bCs/>
      <w:color w:val="FF0000"/>
      <w:lang w:eastAsia="en-GB"/>
    </w:rPr>
  </w:style>
  <w:style w:type="paragraph" w:customStyle="1" w:styleId="xl61565">
    <w:name w:val="xl61565"/>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6">
    <w:name w:val="xl61566"/>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7">
    <w:name w:val="xl61567"/>
    <w:basedOn w:val="Normal"/>
    <w:rsid w:val="00147246"/>
    <w:pPr>
      <w:spacing w:before="100" w:beforeAutospacing="1" w:after="100" w:afterAutospacing="1"/>
      <w:jc w:val="left"/>
    </w:pPr>
    <w:rPr>
      <w:rFonts w:eastAsia="Times New Roman" w:cs="Arial"/>
      <w:sz w:val="24"/>
      <w:szCs w:val="24"/>
      <w:lang w:eastAsia="en-GB"/>
    </w:rPr>
  </w:style>
  <w:style w:type="paragraph" w:customStyle="1" w:styleId="xl61568">
    <w:name w:val="xl61568"/>
    <w:basedOn w:val="Normal"/>
    <w:rsid w:val="00147246"/>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69">
    <w:name w:val="xl61569"/>
    <w:basedOn w:val="Normal"/>
    <w:rsid w:val="00147246"/>
    <w:pPr>
      <w:pBdr>
        <w:left w:val="single" w:sz="4"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0">
    <w:name w:val="xl61570"/>
    <w:basedOn w:val="Normal"/>
    <w:rsid w:val="00147246"/>
    <w:pPr>
      <w:pBdr>
        <w:left w:val="single" w:sz="4"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1">
    <w:name w:val="xl61571"/>
    <w:basedOn w:val="Normal"/>
    <w:rsid w:val="00147246"/>
    <w:pPr>
      <w:pBdr>
        <w:left w:val="single" w:sz="8" w:space="0" w:color="auto"/>
        <w:bottom w:val="single" w:sz="8" w:space="0" w:color="auto"/>
        <w:right w:val="single" w:sz="4"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2">
    <w:name w:val="xl61572"/>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73">
    <w:name w:val="xl61573"/>
    <w:basedOn w:val="Normal"/>
    <w:rsid w:val="0014724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574">
    <w:name w:val="xl61574"/>
    <w:basedOn w:val="Normal"/>
    <w:rsid w:val="001472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75">
    <w:name w:val="xl61575"/>
    <w:basedOn w:val="Normal"/>
    <w:rsid w:val="001472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576">
    <w:name w:val="xl61576"/>
    <w:basedOn w:val="Normal"/>
    <w:rsid w:val="0014724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77">
    <w:name w:val="xl61577"/>
    <w:basedOn w:val="Normal"/>
    <w:rsid w:val="00147246"/>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
      <w:bCs/>
      <w:lang w:eastAsia="en-GB"/>
    </w:rPr>
  </w:style>
  <w:style w:type="paragraph" w:customStyle="1" w:styleId="xl61578">
    <w:name w:val="xl61578"/>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79">
    <w:name w:val="xl61579"/>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80">
    <w:name w:val="xl61580"/>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lang w:eastAsia="en-GB"/>
    </w:rPr>
  </w:style>
  <w:style w:type="paragraph" w:customStyle="1" w:styleId="xl61581">
    <w:name w:val="xl61581"/>
    <w:basedOn w:val="Normal"/>
    <w:rsid w:val="00147246"/>
    <w:pPr>
      <w:pBdr>
        <w:left w:val="single" w:sz="8" w:space="0" w:color="auto"/>
        <w:bottom w:val="single" w:sz="8" w:space="0" w:color="auto"/>
        <w:right w:val="single" w:sz="8" w:space="0" w:color="auto"/>
      </w:pBdr>
      <w:shd w:val="clear" w:color="000000" w:fill="C0C0C0"/>
      <w:spacing w:before="100" w:beforeAutospacing="1" w:after="100" w:afterAutospacing="1"/>
      <w:jc w:val="left"/>
    </w:pPr>
    <w:rPr>
      <w:rFonts w:eastAsia="Times New Roman" w:cs="Arial"/>
      <w:b/>
      <w:bCs/>
      <w:lang w:eastAsia="en-GB"/>
    </w:rPr>
  </w:style>
  <w:style w:type="paragraph" w:customStyle="1" w:styleId="xl61582">
    <w:name w:val="xl61582"/>
    <w:basedOn w:val="Normal"/>
    <w:rsid w:val="00147246"/>
    <w:pPr>
      <w:pBdr>
        <w:left w:val="single" w:sz="8"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583">
    <w:name w:val="xl61583"/>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584">
    <w:name w:val="xl61584"/>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left"/>
      <w:textAlignment w:val="center"/>
    </w:pPr>
    <w:rPr>
      <w:rFonts w:eastAsia="Times New Roman" w:cs="Arial"/>
      <w:b/>
      <w:bCs/>
      <w:color w:val="000000"/>
      <w:lang w:eastAsia="en-GB"/>
    </w:rPr>
  </w:style>
  <w:style w:type="paragraph" w:customStyle="1" w:styleId="xl61585">
    <w:name w:val="xl61585"/>
    <w:basedOn w:val="Normal"/>
    <w:rsid w:val="0014724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top"/>
    </w:pPr>
    <w:rPr>
      <w:rFonts w:eastAsia="Times New Roman" w:cs="Arial"/>
      <w:b/>
      <w:bCs/>
      <w:color w:val="000000"/>
      <w:lang w:eastAsia="en-GB"/>
    </w:rPr>
  </w:style>
  <w:style w:type="paragraph" w:customStyle="1" w:styleId="xl61586">
    <w:name w:val="xl61586"/>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87">
    <w:name w:val="xl61587"/>
    <w:basedOn w:val="Normal"/>
    <w:rsid w:val="00147246"/>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88">
    <w:name w:val="xl61588"/>
    <w:basedOn w:val="Normal"/>
    <w:rsid w:val="00147246"/>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89">
    <w:name w:val="xl61589"/>
    <w:basedOn w:val="Normal"/>
    <w:rsid w:val="00147246"/>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90">
    <w:name w:val="xl61590"/>
    <w:basedOn w:val="Normal"/>
    <w:rsid w:val="00147246"/>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top"/>
    </w:pPr>
    <w:rPr>
      <w:rFonts w:eastAsia="Times New Roman" w:cs="Arial"/>
      <w:b/>
      <w:bCs/>
      <w:lang w:eastAsia="en-GB"/>
    </w:rPr>
  </w:style>
  <w:style w:type="paragraph" w:customStyle="1" w:styleId="xl61591">
    <w:name w:val="xl61591"/>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2">
    <w:name w:val="xl61592"/>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3">
    <w:name w:val="xl61593"/>
    <w:basedOn w:val="Normal"/>
    <w:rsid w:val="0014724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594">
    <w:name w:val="xl61594"/>
    <w:basedOn w:val="Normal"/>
    <w:rsid w:val="0014724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5">
    <w:name w:val="xl61595"/>
    <w:basedOn w:val="Normal"/>
    <w:rsid w:val="0014724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596">
    <w:name w:val="xl61596"/>
    <w:basedOn w:val="Normal"/>
    <w:rsid w:val="0014724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7">
    <w:name w:val="xl61597"/>
    <w:basedOn w:val="Normal"/>
    <w:rsid w:val="0014724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8">
    <w:name w:val="xl61598"/>
    <w:basedOn w:val="Normal"/>
    <w:rsid w:val="0014724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right"/>
      <w:textAlignment w:val="center"/>
    </w:pPr>
    <w:rPr>
      <w:rFonts w:eastAsia="Times New Roman" w:cs="Arial"/>
      <w:b/>
      <w:bCs/>
      <w:color w:val="000000"/>
      <w:lang w:eastAsia="en-GB"/>
    </w:rPr>
  </w:style>
  <w:style w:type="paragraph" w:customStyle="1" w:styleId="xl61599">
    <w:name w:val="xl61599"/>
    <w:basedOn w:val="Normal"/>
    <w:rsid w:val="00147246"/>
    <w:pPr>
      <w:pBdr>
        <w:left w:val="single" w:sz="8" w:space="0" w:color="auto"/>
        <w:right w:val="single" w:sz="8" w:space="0" w:color="auto"/>
      </w:pBdr>
      <w:spacing w:before="100" w:beforeAutospacing="1" w:after="100" w:afterAutospacing="1"/>
      <w:jc w:val="left"/>
    </w:pPr>
    <w:rPr>
      <w:rFonts w:eastAsia="Times New Roman" w:cs="Arial"/>
      <w:lang w:eastAsia="en-GB"/>
    </w:rPr>
  </w:style>
  <w:style w:type="paragraph" w:customStyle="1" w:styleId="xl61600">
    <w:name w:val="xl61600"/>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lang w:eastAsia="en-GB"/>
    </w:rPr>
  </w:style>
  <w:style w:type="paragraph" w:customStyle="1" w:styleId="xl61601">
    <w:name w:val="xl61601"/>
    <w:basedOn w:val="Normal"/>
    <w:rsid w:val="00147246"/>
    <w:pPr>
      <w:pBdr>
        <w:left w:val="single" w:sz="8" w:space="0" w:color="auto"/>
        <w:right w:val="single" w:sz="8"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2">
    <w:name w:val="xl61602"/>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3">
    <w:name w:val="xl61603"/>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4">
    <w:name w:val="xl61604"/>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05">
    <w:name w:val="xl61605"/>
    <w:basedOn w:val="Normal"/>
    <w:rsid w:val="00147246"/>
    <w:pPr>
      <w:pBdr>
        <w:top w:val="single" w:sz="4" w:space="0" w:color="auto"/>
        <w:left w:val="single" w:sz="8" w:space="0" w:color="auto"/>
        <w:right w:val="single" w:sz="8" w:space="0" w:color="auto"/>
      </w:pBdr>
      <w:spacing w:before="100" w:beforeAutospacing="1" w:after="100" w:afterAutospacing="1"/>
      <w:jc w:val="left"/>
    </w:pPr>
    <w:rPr>
      <w:rFonts w:eastAsia="Times New Roman" w:cs="Arial"/>
      <w:b/>
      <w:bCs/>
      <w:lang w:eastAsia="en-GB"/>
    </w:rPr>
  </w:style>
  <w:style w:type="paragraph" w:customStyle="1" w:styleId="xl61606">
    <w:name w:val="xl61606"/>
    <w:basedOn w:val="Normal"/>
    <w:rsid w:val="00147246"/>
    <w:pPr>
      <w:spacing w:before="100" w:beforeAutospacing="1" w:after="100" w:afterAutospacing="1"/>
      <w:jc w:val="left"/>
    </w:pPr>
    <w:rPr>
      <w:rFonts w:eastAsia="Times New Roman" w:cs="Arial"/>
      <w:lang w:eastAsia="en-GB"/>
    </w:rPr>
  </w:style>
  <w:style w:type="paragraph" w:customStyle="1" w:styleId="xl61607">
    <w:name w:val="xl61607"/>
    <w:basedOn w:val="Normal"/>
    <w:rsid w:val="00147246"/>
    <w:pPr>
      <w:spacing w:before="100" w:beforeAutospacing="1" w:after="100" w:afterAutospacing="1"/>
      <w:jc w:val="center"/>
      <w:textAlignment w:val="top"/>
    </w:pPr>
    <w:rPr>
      <w:rFonts w:eastAsia="Times New Roman" w:cs="Arial"/>
      <w:sz w:val="24"/>
      <w:szCs w:val="24"/>
      <w:lang w:eastAsia="en-GB"/>
    </w:rPr>
  </w:style>
  <w:style w:type="paragraph" w:customStyle="1" w:styleId="xl61608">
    <w:name w:val="xl61608"/>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609">
    <w:name w:val="xl61609"/>
    <w:basedOn w:val="Normal"/>
    <w:rsid w:val="00147246"/>
    <w:pPr>
      <w:pBdr>
        <w:left w:val="single" w:sz="4" w:space="0" w:color="auto"/>
        <w:right w:val="single" w:sz="4" w:space="0" w:color="auto"/>
      </w:pBdr>
      <w:spacing w:before="100" w:beforeAutospacing="1" w:after="100" w:afterAutospacing="1"/>
      <w:jc w:val="right"/>
      <w:textAlignment w:val="center"/>
    </w:pPr>
    <w:rPr>
      <w:rFonts w:eastAsia="Times New Roman" w:cs="Arial"/>
      <w:b/>
      <w:bCs/>
      <w:lang w:eastAsia="en-GB"/>
    </w:rPr>
  </w:style>
  <w:style w:type="paragraph" w:customStyle="1" w:styleId="xl61610">
    <w:name w:val="xl61610"/>
    <w:basedOn w:val="Normal"/>
    <w:rsid w:val="00147246"/>
    <w:pPr>
      <w:pBdr>
        <w:left w:val="single" w:sz="4"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611">
    <w:name w:val="xl61611"/>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b/>
      <w:bCs/>
      <w:lang w:eastAsia="en-GB"/>
    </w:rPr>
  </w:style>
  <w:style w:type="paragraph" w:customStyle="1" w:styleId="xl61612">
    <w:name w:val="xl61612"/>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3">
    <w:name w:val="xl61613"/>
    <w:basedOn w:val="Normal"/>
    <w:rsid w:val="00147246"/>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4">
    <w:name w:val="xl61614"/>
    <w:basedOn w:val="Normal"/>
    <w:rsid w:val="00147246"/>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5">
    <w:name w:val="xl61615"/>
    <w:basedOn w:val="Normal"/>
    <w:rsid w:val="00147246"/>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cs="Arial"/>
      <w:b/>
      <w:bCs/>
      <w:color w:val="000000"/>
      <w:lang w:eastAsia="en-GB"/>
    </w:rPr>
  </w:style>
  <w:style w:type="paragraph" w:customStyle="1" w:styleId="xl61616">
    <w:name w:val="xl61616"/>
    <w:basedOn w:val="Normal"/>
    <w:rsid w:val="00147246"/>
    <w:pPr>
      <w:pBdr>
        <w:top w:val="single" w:sz="4" w:space="0" w:color="auto"/>
        <w:left w:val="single" w:sz="8" w:space="0" w:color="auto"/>
        <w:right w:val="single" w:sz="8" w:space="0" w:color="auto"/>
      </w:pBdr>
      <w:spacing w:before="100" w:beforeAutospacing="1" w:after="100" w:afterAutospacing="1"/>
      <w:jc w:val="right"/>
      <w:textAlignment w:val="center"/>
    </w:pPr>
    <w:rPr>
      <w:rFonts w:eastAsia="Times New Roman" w:cs="Arial"/>
      <w:lang w:eastAsia="en-GB"/>
    </w:rPr>
  </w:style>
  <w:style w:type="paragraph" w:customStyle="1" w:styleId="xl61617">
    <w:name w:val="xl61617"/>
    <w:basedOn w:val="Normal"/>
    <w:rsid w:val="00147246"/>
    <w:pPr>
      <w:pBdr>
        <w:left w:val="single" w:sz="8" w:space="0" w:color="auto"/>
        <w:right w:val="single" w:sz="4" w:space="0" w:color="auto"/>
      </w:pBdr>
      <w:spacing w:before="100" w:beforeAutospacing="1" w:after="100" w:afterAutospacing="1"/>
      <w:jc w:val="right"/>
      <w:textAlignment w:val="center"/>
    </w:pPr>
    <w:rPr>
      <w:rFonts w:eastAsia="Times New Roman" w:cs="Arial"/>
      <w:color w:val="000000"/>
      <w:lang w:eastAsia="en-GB"/>
    </w:rPr>
  </w:style>
  <w:style w:type="paragraph" w:customStyle="1" w:styleId="xl61618">
    <w:name w:val="xl61618"/>
    <w:basedOn w:val="Normal"/>
    <w:rsid w:val="00147246"/>
    <w:pPr>
      <w:pBdr>
        <w:left w:val="single" w:sz="8" w:space="0" w:color="auto"/>
        <w:right w:val="single" w:sz="8" w:space="0" w:color="auto"/>
      </w:pBdr>
      <w:spacing w:before="100" w:beforeAutospacing="1" w:after="100" w:afterAutospacing="1"/>
      <w:jc w:val="left"/>
    </w:pPr>
    <w:rPr>
      <w:rFonts w:eastAsia="Times New Roman"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418">
      <w:bodyDiv w:val="1"/>
      <w:marLeft w:val="0"/>
      <w:marRight w:val="0"/>
      <w:marTop w:val="0"/>
      <w:marBottom w:val="0"/>
      <w:divBdr>
        <w:top w:val="none" w:sz="0" w:space="0" w:color="auto"/>
        <w:left w:val="none" w:sz="0" w:space="0" w:color="auto"/>
        <w:bottom w:val="none" w:sz="0" w:space="0" w:color="auto"/>
        <w:right w:val="none" w:sz="0" w:space="0" w:color="auto"/>
      </w:divBdr>
    </w:div>
    <w:div w:id="10108078">
      <w:bodyDiv w:val="1"/>
      <w:marLeft w:val="0"/>
      <w:marRight w:val="0"/>
      <w:marTop w:val="0"/>
      <w:marBottom w:val="0"/>
      <w:divBdr>
        <w:top w:val="none" w:sz="0" w:space="0" w:color="auto"/>
        <w:left w:val="none" w:sz="0" w:space="0" w:color="auto"/>
        <w:bottom w:val="none" w:sz="0" w:space="0" w:color="auto"/>
        <w:right w:val="none" w:sz="0" w:space="0" w:color="auto"/>
      </w:divBdr>
    </w:div>
    <w:div w:id="12536311">
      <w:bodyDiv w:val="1"/>
      <w:marLeft w:val="0"/>
      <w:marRight w:val="0"/>
      <w:marTop w:val="0"/>
      <w:marBottom w:val="0"/>
      <w:divBdr>
        <w:top w:val="none" w:sz="0" w:space="0" w:color="auto"/>
        <w:left w:val="none" w:sz="0" w:space="0" w:color="auto"/>
        <w:bottom w:val="none" w:sz="0" w:space="0" w:color="auto"/>
        <w:right w:val="none" w:sz="0" w:space="0" w:color="auto"/>
      </w:divBdr>
    </w:div>
    <w:div w:id="13925660">
      <w:bodyDiv w:val="1"/>
      <w:marLeft w:val="0"/>
      <w:marRight w:val="0"/>
      <w:marTop w:val="0"/>
      <w:marBottom w:val="0"/>
      <w:divBdr>
        <w:top w:val="none" w:sz="0" w:space="0" w:color="auto"/>
        <w:left w:val="none" w:sz="0" w:space="0" w:color="auto"/>
        <w:bottom w:val="none" w:sz="0" w:space="0" w:color="auto"/>
        <w:right w:val="none" w:sz="0" w:space="0" w:color="auto"/>
      </w:divBdr>
    </w:div>
    <w:div w:id="31345117">
      <w:bodyDiv w:val="1"/>
      <w:marLeft w:val="0"/>
      <w:marRight w:val="0"/>
      <w:marTop w:val="0"/>
      <w:marBottom w:val="0"/>
      <w:divBdr>
        <w:top w:val="none" w:sz="0" w:space="0" w:color="auto"/>
        <w:left w:val="none" w:sz="0" w:space="0" w:color="auto"/>
        <w:bottom w:val="none" w:sz="0" w:space="0" w:color="auto"/>
        <w:right w:val="none" w:sz="0" w:space="0" w:color="auto"/>
      </w:divBdr>
    </w:div>
    <w:div w:id="34893568">
      <w:bodyDiv w:val="1"/>
      <w:marLeft w:val="0"/>
      <w:marRight w:val="0"/>
      <w:marTop w:val="0"/>
      <w:marBottom w:val="0"/>
      <w:divBdr>
        <w:top w:val="none" w:sz="0" w:space="0" w:color="auto"/>
        <w:left w:val="none" w:sz="0" w:space="0" w:color="auto"/>
        <w:bottom w:val="none" w:sz="0" w:space="0" w:color="auto"/>
        <w:right w:val="none" w:sz="0" w:space="0" w:color="auto"/>
      </w:divBdr>
    </w:div>
    <w:div w:id="43602750">
      <w:bodyDiv w:val="1"/>
      <w:marLeft w:val="0"/>
      <w:marRight w:val="0"/>
      <w:marTop w:val="0"/>
      <w:marBottom w:val="0"/>
      <w:divBdr>
        <w:top w:val="none" w:sz="0" w:space="0" w:color="auto"/>
        <w:left w:val="none" w:sz="0" w:space="0" w:color="auto"/>
        <w:bottom w:val="none" w:sz="0" w:space="0" w:color="auto"/>
        <w:right w:val="none" w:sz="0" w:space="0" w:color="auto"/>
      </w:divBdr>
    </w:div>
    <w:div w:id="44642939">
      <w:bodyDiv w:val="1"/>
      <w:marLeft w:val="0"/>
      <w:marRight w:val="0"/>
      <w:marTop w:val="0"/>
      <w:marBottom w:val="0"/>
      <w:divBdr>
        <w:top w:val="none" w:sz="0" w:space="0" w:color="auto"/>
        <w:left w:val="none" w:sz="0" w:space="0" w:color="auto"/>
        <w:bottom w:val="none" w:sz="0" w:space="0" w:color="auto"/>
        <w:right w:val="none" w:sz="0" w:space="0" w:color="auto"/>
      </w:divBdr>
    </w:div>
    <w:div w:id="50425527">
      <w:bodyDiv w:val="1"/>
      <w:marLeft w:val="0"/>
      <w:marRight w:val="0"/>
      <w:marTop w:val="0"/>
      <w:marBottom w:val="0"/>
      <w:divBdr>
        <w:top w:val="none" w:sz="0" w:space="0" w:color="auto"/>
        <w:left w:val="none" w:sz="0" w:space="0" w:color="auto"/>
        <w:bottom w:val="none" w:sz="0" w:space="0" w:color="auto"/>
        <w:right w:val="none" w:sz="0" w:space="0" w:color="auto"/>
      </w:divBdr>
    </w:div>
    <w:div w:id="58941087">
      <w:bodyDiv w:val="1"/>
      <w:marLeft w:val="0"/>
      <w:marRight w:val="0"/>
      <w:marTop w:val="0"/>
      <w:marBottom w:val="0"/>
      <w:divBdr>
        <w:top w:val="none" w:sz="0" w:space="0" w:color="auto"/>
        <w:left w:val="none" w:sz="0" w:space="0" w:color="auto"/>
        <w:bottom w:val="none" w:sz="0" w:space="0" w:color="auto"/>
        <w:right w:val="none" w:sz="0" w:space="0" w:color="auto"/>
      </w:divBdr>
    </w:div>
    <w:div w:id="98186703">
      <w:bodyDiv w:val="1"/>
      <w:marLeft w:val="0"/>
      <w:marRight w:val="0"/>
      <w:marTop w:val="0"/>
      <w:marBottom w:val="0"/>
      <w:divBdr>
        <w:top w:val="none" w:sz="0" w:space="0" w:color="auto"/>
        <w:left w:val="none" w:sz="0" w:space="0" w:color="auto"/>
        <w:bottom w:val="none" w:sz="0" w:space="0" w:color="auto"/>
        <w:right w:val="none" w:sz="0" w:space="0" w:color="auto"/>
      </w:divBdr>
    </w:div>
    <w:div w:id="98835172">
      <w:bodyDiv w:val="1"/>
      <w:marLeft w:val="0"/>
      <w:marRight w:val="0"/>
      <w:marTop w:val="0"/>
      <w:marBottom w:val="0"/>
      <w:divBdr>
        <w:top w:val="none" w:sz="0" w:space="0" w:color="auto"/>
        <w:left w:val="none" w:sz="0" w:space="0" w:color="auto"/>
        <w:bottom w:val="none" w:sz="0" w:space="0" w:color="auto"/>
        <w:right w:val="none" w:sz="0" w:space="0" w:color="auto"/>
      </w:divBdr>
    </w:div>
    <w:div w:id="114835641">
      <w:bodyDiv w:val="1"/>
      <w:marLeft w:val="0"/>
      <w:marRight w:val="0"/>
      <w:marTop w:val="0"/>
      <w:marBottom w:val="0"/>
      <w:divBdr>
        <w:top w:val="none" w:sz="0" w:space="0" w:color="auto"/>
        <w:left w:val="none" w:sz="0" w:space="0" w:color="auto"/>
        <w:bottom w:val="none" w:sz="0" w:space="0" w:color="auto"/>
        <w:right w:val="none" w:sz="0" w:space="0" w:color="auto"/>
      </w:divBdr>
    </w:div>
    <w:div w:id="135687276">
      <w:bodyDiv w:val="1"/>
      <w:marLeft w:val="0"/>
      <w:marRight w:val="0"/>
      <w:marTop w:val="0"/>
      <w:marBottom w:val="0"/>
      <w:divBdr>
        <w:top w:val="none" w:sz="0" w:space="0" w:color="auto"/>
        <w:left w:val="none" w:sz="0" w:space="0" w:color="auto"/>
        <w:bottom w:val="none" w:sz="0" w:space="0" w:color="auto"/>
        <w:right w:val="none" w:sz="0" w:space="0" w:color="auto"/>
      </w:divBdr>
    </w:div>
    <w:div w:id="141893026">
      <w:bodyDiv w:val="1"/>
      <w:marLeft w:val="0"/>
      <w:marRight w:val="0"/>
      <w:marTop w:val="0"/>
      <w:marBottom w:val="0"/>
      <w:divBdr>
        <w:top w:val="none" w:sz="0" w:space="0" w:color="auto"/>
        <w:left w:val="none" w:sz="0" w:space="0" w:color="auto"/>
        <w:bottom w:val="none" w:sz="0" w:space="0" w:color="auto"/>
        <w:right w:val="none" w:sz="0" w:space="0" w:color="auto"/>
      </w:divBdr>
    </w:div>
    <w:div w:id="142738459">
      <w:bodyDiv w:val="1"/>
      <w:marLeft w:val="0"/>
      <w:marRight w:val="0"/>
      <w:marTop w:val="0"/>
      <w:marBottom w:val="0"/>
      <w:divBdr>
        <w:top w:val="none" w:sz="0" w:space="0" w:color="auto"/>
        <w:left w:val="none" w:sz="0" w:space="0" w:color="auto"/>
        <w:bottom w:val="none" w:sz="0" w:space="0" w:color="auto"/>
        <w:right w:val="none" w:sz="0" w:space="0" w:color="auto"/>
      </w:divBdr>
    </w:div>
    <w:div w:id="157116662">
      <w:bodyDiv w:val="1"/>
      <w:marLeft w:val="0"/>
      <w:marRight w:val="0"/>
      <w:marTop w:val="0"/>
      <w:marBottom w:val="0"/>
      <w:divBdr>
        <w:top w:val="none" w:sz="0" w:space="0" w:color="auto"/>
        <w:left w:val="none" w:sz="0" w:space="0" w:color="auto"/>
        <w:bottom w:val="none" w:sz="0" w:space="0" w:color="auto"/>
        <w:right w:val="none" w:sz="0" w:space="0" w:color="auto"/>
      </w:divBdr>
    </w:div>
    <w:div w:id="159780384">
      <w:bodyDiv w:val="1"/>
      <w:marLeft w:val="0"/>
      <w:marRight w:val="0"/>
      <w:marTop w:val="0"/>
      <w:marBottom w:val="0"/>
      <w:divBdr>
        <w:top w:val="none" w:sz="0" w:space="0" w:color="auto"/>
        <w:left w:val="none" w:sz="0" w:space="0" w:color="auto"/>
        <w:bottom w:val="none" w:sz="0" w:space="0" w:color="auto"/>
        <w:right w:val="none" w:sz="0" w:space="0" w:color="auto"/>
      </w:divBdr>
    </w:div>
    <w:div w:id="161119869">
      <w:bodyDiv w:val="1"/>
      <w:marLeft w:val="0"/>
      <w:marRight w:val="0"/>
      <w:marTop w:val="0"/>
      <w:marBottom w:val="0"/>
      <w:divBdr>
        <w:top w:val="none" w:sz="0" w:space="0" w:color="auto"/>
        <w:left w:val="none" w:sz="0" w:space="0" w:color="auto"/>
        <w:bottom w:val="none" w:sz="0" w:space="0" w:color="auto"/>
        <w:right w:val="none" w:sz="0" w:space="0" w:color="auto"/>
      </w:divBdr>
    </w:div>
    <w:div w:id="175847895">
      <w:bodyDiv w:val="1"/>
      <w:marLeft w:val="0"/>
      <w:marRight w:val="0"/>
      <w:marTop w:val="0"/>
      <w:marBottom w:val="0"/>
      <w:divBdr>
        <w:top w:val="none" w:sz="0" w:space="0" w:color="auto"/>
        <w:left w:val="none" w:sz="0" w:space="0" w:color="auto"/>
        <w:bottom w:val="none" w:sz="0" w:space="0" w:color="auto"/>
        <w:right w:val="none" w:sz="0" w:space="0" w:color="auto"/>
      </w:divBdr>
    </w:div>
    <w:div w:id="177817499">
      <w:bodyDiv w:val="1"/>
      <w:marLeft w:val="0"/>
      <w:marRight w:val="0"/>
      <w:marTop w:val="0"/>
      <w:marBottom w:val="0"/>
      <w:divBdr>
        <w:top w:val="none" w:sz="0" w:space="0" w:color="auto"/>
        <w:left w:val="none" w:sz="0" w:space="0" w:color="auto"/>
        <w:bottom w:val="none" w:sz="0" w:space="0" w:color="auto"/>
        <w:right w:val="none" w:sz="0" w:space="0" w:color="auto"/>
      </w:divBdr>
    </w:div>
    <w:div w:id="179199336">
      <w:bodyDiv w:val="1"/>
      <w:marLeft w:val="0"/>
      <w:marRight w:val="0"/>
      <w:marTop w:val="0"/>
      <w:marBottom w:val="0"/>
      <w:divBdr>
        <w:top w:val="none" w:sz="0" w:space="0" w:color="auto"/>
        <w:left w:val="none" w:sz="0" w:space="0" w:color="auto"/>
        <w:bottom w:val="none" w:sz="0" w:space="0" w:color="auto"/>
        <w:right w:val="none" w:sz="0" w:space="0" w:color="auto"/>
      </w:divBdr>
    </w:div>
    <w:div w:id="206375190">
      <w:bodyDiv w:val="1"/>
      <w:marLeft w:val="0"/>
      <w:marRight w:val="0"/>
      <w:marTop w:val="0"/>
      <w:marBottom w:val="0"/>
      <w:divBdr>
        <w:top w:val="none" w:sz="0" w:space="0" w:color="auto"/>
        <w:left w:val="none" w:sz="0" w:space="0" w:color="auto"/>
        <w:bottom w:val="none" w:sz="0" w:space="0" w:color="auto"/>
        <w:right w:val="none" w:sz="0" w:space="0" w:color="auto"/>
      </w:divBdr>
    </w:div>
    <w:div w:id="220335161">
      <w:bodyDiv w:val="1"/>
      <w:marLeft w:val="0"/>
      <w:marRight w:val="0"/>
      <w:marTop w:val="0"/>
      <w:marBottom w:val="0"/>
      <w:divBdr>
        <w:top w:val="none" w:sz="0" w:space="0" w:color="auto"/>
        <w:left w:val="none" w:sz="0" w:space="0" w:color="auto"/>
        <w:bottom w:val="none" w:sz="0" w:space="0" w:color="auto"/>
        <w:right w:val="none" w:sz="0" w:space="0" w:color="auto"/>
      </w:divBdr>
    </w:div>
    <w:div w:id="225648320">
      <w:bodyDiv w:val="1"/>
      <w:marLeft w:val="0"/>
      <w:marRight w:val="0"/>
      <w:marTop w:val="0"/>
      <w:marBottom w:val="0"/>
      <w:divBdr>
        <w:top w:val="none" w:sz="0" w:space="0" w:color="auto"/>
        <w:left w:val="none" w:sz="0" w:space="0" w:color="auto"/>
        <w:bottom w:val="none" w:sz="0" w:space="0" w:color="auto"/>
        <w:right w:val="none" w:sz="0" w:space="0" w:color="auto"/>
      </w:divBdr>
    </w:div>
    <w:div w:id="241570952">
      <w:bodyDiv w:val="1"/>
      <w:marLeft w:val="0"/>
      <w:marRight w:val="0"/>
      <w:marTop w:val="0"/>
      <w:marBottom w:val="0"/>
      <w:divBdr>
        <w:top w:val="none" w:sz="0" w:space="0" w:color="auto"/>
        <w:left w:val="none" w:sz="0" w:space="0" w:color="auto"/>
        <w:bottom w:val="none" w:sz="0" w:space="0" w:color="auto"/>
        <w:right w:val="none" w:sz="0" w:space="0" w:color="auto"/>
      </w:divBdr>
    </w:div>
    <w:div w:id="243301357">
      <w:bodyDiv w:val="1"/>
      <w:marLeft w:val="0"/>
      <w:marRight w:val="0"/>
      <w:marTop w:val="0"/>
      <w:marBottom w:val="0"/>
      <w:divBdr>
        <w:top w:val="none" w:sz="0" w:space="0" w:color="auto"/>
        <w:left w:val="none" w:sz="0" w:space="0" w:color="auto"/>
        <w:bottom w:val="none" w:sz="0" w:space="0" w:color="auto"/>
        <w:right w:val="none" w:sz="0" w:space="0" w:color="auto"/>
      </w:divBdr>
    </w:div>
    <w:div w:id="247541441">
      <w:bodyDiv w:val="1"/>
      <w:marLeft w:val="0"/>
      <w:marRight w:val="0"/>
      <w:marTop w:val="0"/>
      <w:marBottom w:val="0"/>
      <w:divBdr>
        <w:top w:val="none" w:sz="0" w:space="0" w:color="auto"/>
        <w:left w:val="none" w:sz="0" w:space="0" w:color="auto"/>
        <w:bottom w:val="none" w:sz="0" w:space="0" w:color="auto"/>
        <w:right w:val="none" w:sz="0" w:space="0" w:color="auto"/>
      </w:divBdr>
    </w:div>
    <w:div w:id="253981024">
      <w:bodyDiv w:val="1"/>
      <w:marLeft w:val="0"/>
      <w:marRight w:val="0"/>
      <w:marTop w:val="0"/>
      <w:marBottom w:val="0"/>
      <w:divBdr>
        <w:top w:val="none" w:sz="0" w:space="0" w:color="auto"/>
        <w:left w:val="none" w:sz="0" w:space="0" w:color="auto"/>
        <w:bottom w:val="none" w:sz="0" w:space="0" w:color="auto"/>
        <w:right w:val="none" w:sz="0" w:space="0" w:color="auto"/>
      </w:divBdr>
    </w:div>
    <w:div w:id="284848810">
      <w:bodyDiv w:val="1"/>
      <w:marLeft w:val="0"/>
      <w:marRight w:val="0"/>
      <w:marTop w:val="0"/>
      <w:marBottom w:val="0"/>
      <w:divBdr>
        <w:top w:val="none" w:sz="0" w:space="0" w:color="auto"/>
        <w:left w:val="none" w:sz="0" w:space="0" w:color="auto"/>
        <w:bottom w:val="none" w:sz="0" w:space="0" w:color="auto"/>
        <w:right w:val="none" w:sz="0" w:space="0" w:color="auto"/>
      </w:divBdr>
    </w:div>
    <w:div w:id="291331634">
      <w:bodyDiv w:val="1"/>
      <w:marLeft w:val="0"/>
      <w:marRight w:val="0"/>
      <w:marTop w:val="0"/>
      <w:marBottom w:val="0"/>
      <w:divBdr>
        <w:top w:val="none" w:sz="0" w:space="0" w:color="auto"/>
        <w:left w:val="none" w:sz="0" w:space="0" w:color="auto"/>
        <w:bottom w:val="none" w:sz="0" w:space="0" w:color="auto"/>
        <w:right w:val="none" w:sz="0" w:space="0" w:color="auto"/>
      </w:divBdr>
    </w:div>
    <w:div w:id="292517828">
      <w:bodyDiv w:val="1"/>
      <w:marLeft w:val="0"/>
      <w:marRight w:val="0"/>
      <w:marTop w:val="0"/>
      <w:marBottom w:val="0"/>
      <w:divBdr>
        <w:top w:val="none" w:sz="0" w:space="0" w:color="auto"/>
        <w:left w:val="none" w:sz="0" w:space="0" w:color="auto"/>
        <w:bottom w:val="none" w:sz="0" w:space="0" w:color="auto"/>
        <w:right w:val="none" w:sz="0" w:space="0" w:color="auto"/>
      </w:divBdr>
    </w:div>
    <w:div w:id="311100189">
      <w:bodyDiv w:val="1"/>
      <w:marLeft w:val="0"/>
      <w:marRight w:val="0"/>
      <w:marTop w:val="0"/>
      <w:marBottom w:val="0"/>
      <w:divBdr>
        <w:top w:val="none" w:sz="0" w:space="0" w:color="auto"/>
        <w:left w:val="none" w:sz="0" w:space="0" w:color="auto"/>
        <w:bottom w:val="none" w:sz="0" w:space="0" w:color="auto"/>
        <w:right w:val="none" w:sz="0" w:space="0" w:color="auto"/>
      </w:divBdr>
    </w:div>
    <w:div w:id="314186838">
      <w:bodyDiv w:val="1"/>
      <w:marLeft w:val="0"/>
      <w:marRight w:val="0"/>
      <w:marTop w:val="0"/>
      <w:marBottom w:val="0"/>
      <w:divBdr>
        <w:top w:val="none" w:sz="0" w:space="0" w:color="auto"/>
        <w:left w:val="none" w:sz="0" w:space="0" w:color="auto"/>
        <w:bottom w:val="none" w:sz="0" w:space="0" w:color="auto"/>
        <w:right w:val="none" w:sz="0" w:space="0" w:color="auto"/>
      </w:divBdr>
    </w:div>
    <w:div w:id="325792009">
      <w:bodyDiv w:val="1"/>
      <w:marLeft w:val="0"/>
      <w:marRight w:val="0"/>
      <w:marTop w:val="0"/>
      <w:marBottom w:val="0"/>
      <w:divBdr>
        <w:top w:val="none" w:sz="0" w:space="0" w:color="auto"/>
        <w:left w:val="none" w:sz="0" w:space="0" w:color="auto"/>
        <w:bottom w:val="none" w:sz="0" w:space="0" w:color="auto"/>
        <w:right w:val="none" w:sz="0" w:space="0" w:color="auto"/>
      </w:divBdr>
    </w:div>
    <w:div w:id="331688032">
      <w:bodyDiv w:val="1"/>
      <w:marLeft w:val="0"/>
      <w:marRight w:val="0"/>
      <w:marTop w:val="0"/>
      <w:marBottom w:val="0"/>
      <w:divBdr>
        <w:top w:val="none" w:sz="0" w:space="0" w:color="auto"/>
        <w:left w:val="none" w:sz="0" w:space="0" w:color="auto"/>
        <w:bottom w:val="none" w:sz="0" w:space="0" w:color="auto"/>
        <w:right w:val="none" w:sz="0" w:space="0" w:color="auto"/>
      </w:divBdr>
    </w:div>
    <w:div w:id="335697707">
      <w:bodyDiv w:val="1"/>
      <w:marLeft w:val="0"/>
      <w:marRight w:val="0"/>
      <w:marTop w:val="0"/>
      <w:marBottom w:val="0"/>
      <w:divBdr>
        <w:top w:val="none" w:sz="0" w:space="0" w:color="auto"/>
        <w:left w:val="none" w:sz="0" w:space="0" w:color="auto"/>
        <w:bottom w:val="none" w:sz="0" w:space="0" w:color="auto"/>
        <w:right w:val="none" w:sz="0" w:space="0" w:color="auto"/>
      </w:divBdr>
    </w:div>
    <w:div w:id="341736847">
      <w:bodyDiv w:val="1"/>
      <w:marLeft w:val="0"/>
      <w:marRight w:val="0"/>
      <w:marTop w:val="0"/>
      <w:marBottom w:val="0"/>
      <w:divBdr>
        <w:top w:val="none" w:sz="0" w:space="0" w:color="auto"/>
        <w:left w:val="none" w:sz="0" w:space="0" w:color="auto"/>
        <w:bottom w:val="none" w:sz="0" w:space="0" w:color="auto"/>
        <w:right w:val="none" w:sz="0" w:space="0" w:color="auto"/>
      </w:divBdr>
    </w:div>
    <w:div w:id="345523860">
      <w:bodyDiv w:val="1"/>
      <w:marLeft w:val="0"/>
      <w:marRight w:val="0"/>
      <w:marTop w:val="0"/>
      <w:marBottom w:val="0"/>
      <w:divBdr>
        <w:top w:val="none" w:sz="0" w:space="0" w:color="auto"/>
        <w:left w:val="none" w:sz="0" w:space="0" w:color="auto"/>
        <w:bottom w:val="none" w:sz="0" w:space="0" w:color="auto"/>
        <w:right w:val="none" w:sz="0" w:space="0" w:color="auto"/>
      </w:divBdr>
    </w:div>
    <w:div w:id="373426378">
      <w:bodyDiv w:val="1"/>
      <w:marLeft w:val="0"/>
      <w:marRight w:val="0"/>
      <w:marTop w:val="0"/>
      <w:marBottom w:val="0"/>
      <w:divBdr>
        <w:top w:val="none" w:sz="0" w:space="0" w:color="auto"/>
        <w:left w:val="none" w:sz="0" w:space="0" w:color="auto"/>
        <w:bottom w:val="none" w:sz="0" w:space="0" w:color="auto"/>
        <w:right w:val="none" w:sz="0" w:space="0" w:color="auto"/>
      </w:divBdr>
    </w:div>
    <w:div w:id="374701083">
      <w:bodyDiv w:val="1"/>
      <w:marLeft w:val="0"/>
      <w:marRight w:val="0"/>
      <w:marTop w:val="0"/>
      <w:marBottom w:val="0"/>
      <w:divBdr>
        <w:top w:val="none" w:sz="0" w:space="0" w:color="auto"/>
        <w:left w:val="none" w:sz="0" w:space="0" w:color="auto"/>
        <w:bottom w:val="none" w:sz="0" w:space="0" w:color="auto"/>
        <w:right w:val="none" w:sz="0" w:space="0" w:color="auto"/>
      </w:divBdr>
    </w:div>
    <w:div w:id="376128775">
      <w:bodyDiv w:val="1"/>
      <w:marLeft w:val="0"/>
      <w:marRight w:val="0"/>
      <w:marTop w:val="0"/>
      <w:marBottom w:val="0"/>
      <w:divBdr>
        <w:top w:val="none" w:sz="0" w:space="0" w:color="auto"/>
        <w:left w:val="none" w:sz="0" w:space="0" w:color="auto"/>
        <w:bottom w:val="none" w:sz="0" w:space="0" w:color="auto"/>
        <w:right w:val="none" w:sz="0" w:space="0" w:color="auto"/>
      </w:divBdr>
    </w:div>
    <w:div w:id="381095762">
      <w:bodyDiv w:val="1"/>
      <w:marLeft w:val="0"/>
      <w:marRight w:val="0"/>
      <w:marTop w:val="0"/>
      <w:marBottom w:val="0"/>
      <w:divBdr>
        <w:top w:val="none" w:sz="0" w:space="0" w:color="auto"/>
        <w:left w:val="none" w:sz="0" w:space="0" w:color="auto"/>
        <w:bottom w:val="none" w:sz="0" w:space="0" w:color="auto"/>
        <w:right w:val="none" w:sz="0" w:space="0" w:color="auto"/>
      </w:divBdr>
    </w:div>
    <w:div w:id="389767666">
      <w:bodyDiv w:val="1"/>
      <w:marLeft w:val="0"/>
      <w:marRight w:val="0"/>
      <w:marTop w:val="0"/>
      <w:marBottom w:val="0"/>
      <w:divBdr>
        <w:top w:val="none" w:sz="0" w:space="0" w:color="auto"/>
        <w:left w:val="none" w:sz="0" w:space="0" w:color="auto"/>
        <w:bottom w:val="none" w:sz="0" w:space="0" w:color="auto"/>
        <w:right w:val="none" w:sz="0" w:space="0" w:color="auto"/>
      </w:divBdr>
    </w:div>
    <w:div w:id="390346822">
      <w:bodyDiv w:val="1"/>
      <w:marLeft w:val="0"/>
      <w:marRight w:val="0"/>
      <w:marTop w:val="0"/>
      <w:marBottom w:val="0"/>
      <w:divBdr>
        <w:top w:val="none" w:sz="0" w:space="0" w:color="auto"/>
        <w:left w:val="none" w:sz="0" w:space="0" w:color="auto"/>
        <w:bottom w:val="none" w:sz="0" w:space="0" w:color="auto"/>
        <w:right w:val="none" w:sz="0" w:space="0" w:color="auto"/>
      </w:divBdr>
    </w:div>
    <w:div w:id="395662474">
      <w:bodyDiv w:val="1"/>
      <w:marLeft w:val="0"/>
      <w:marRight w:val="0"/>
      <w:marTop w:val="0"/>
      <w:marBottom w:val="0"/>
      <w:divBdr>
        <w:top w:val="none" w:sz="0" w:space="0" w:color="auto"/>
        <w:left w:val="none" w:sz="0" w:space="0" w:color="auto"/>
        <w:bottom w:val="none" w:sz="0" w:space="0" w:color="auto"/>
        <w:right w:val="none" w:sz="0" w:space="0" w:color="auto"/>
      </w:divBdr>
    </w:div>
    <w:div w:id="399015407">
      <w:bodyDiv w:val="1"/>
      <w:marLeft w:val="0"/>
      <w:marRight w:val="0"/>
      <w:marTop w:val="0"/>
      <w:marBottom w:val="0"/>
      <w:divBdr>
        <w:top w:val="none" w:sz="0" w:space="0" w:color="auto"/>
        <w:left w:val="none" w:sz="0" w:space="0" w:color="auto"/>
        <w:bottom w:val="none" w:sz="0" w:space="0" w:color="auto"/>
        <w:right w:val="none" w:sz="0" w:space="0" w:color="auto"/>
      </w:divBdr>
    </w:div>
    <w:div w:id="403340802">
      <w:bodyDiv w:val="1"/>
      <w:marLeft w:val="0"/>
      <w:marRight w:val="0"/>
      <w:marTop w:val="0"/>
      <w:marBottom w:val="0"/>
      <w:divBdr>
        <w:top w:val="none" w:sz="0" w:space="0" w:color="auto"/>
        <w:left w:val="none" w:sz="0" w:space="0" w:color="auto"/>
        <w:bottom w:val="none" w:sz="0" w:space="0" w:color="auto"/>
        <w:right w:val="none" w:sz="0" w:space="0" w:color="auto"/>
      </w:divBdr>
    </w:div>
    <w:div w:id="404454706">
      <w:bodyDiv w:val="1"/>
      <w:marLeft w:val="0"/>
      <w:marRight w:val="0"/>
      <w:marTop w:val="0"/>
      <w:marBottom w:val="0"/>
      <w:divBdr>
        <w:top w:val="none" w:sz="0" w:space="0" w:color="auto"/>
        <w:left w:val="none" w:sz="0" w:space="0" w:color="auto"/>
        <w:bottom w:val="none" w:sz="0" w:space="0" w:color="auto"/>
        <w:right w:val="none" w:sz="0" w:space="0" w:color="auto"/>
      </w:divBdr>
    </w:div>
    <w:div w:id="422805251">
      <w:bodyDiv w:val="1"/>
      <w:marLeft w:val="0"/>
      <w:marRight w:val="0"/>
      <w:marTop w:val="0"/>
      <w:marBottom w:val="0"/>
      <w:divBdr>
        <w:top w:val="none" w:sz="0" w:space="0" w:color="auto"/>
        <w:left w:val="none" w:sz="0" w:space="0" w:color="auto"/>
        <w:bottom w:val="none" w:sz="0" w:space="0" w:color="auto"/>
        <w:right w:val="none" w:sz="0" w:space="0" w:color="auto"/>
      </w:divBdr>
    </w:div>
    <w:div w:id="430391000">
      <w:bodyDiv w:val="1"/>
      <w:marLeft w:val="0"/>
      <w:marRight w:val="0"/>
      <w:marTop w:val="0"/>
      <w:marBottom w:val="0"/>
      <w:divBdr>
        <w:top w:val="none" w:sz="0" w:space="0" w:color="auto"/>
        <w:left w:val="none" w:sz="0" w:space="0" w:color="auto"/>
        <w:bottom w:val="none" w:sz="0" w:space="0" w:color="auto"/>
        <w:right w:val="none" w:sz="0" w:space="0" w:color="auto"/>
      </w:divBdr>
    </w:div>
    <w:div w:id="430778807">
      <w:bodyDiv w:val="1"/>
      <w:marLeft w:val="0"/>
      <w:marRight w:val="0"/>
      <w:marTop w:val="0"/>
      <w:marBottom w:val="0"/>
      <w:divBdr>
        <w:top w:val="none" w:sz="0" w:space="0" w:color="auto"/>
        <w:left w:val="none" w:sz="0" w:space="0" w:color="auto"/>
        <w:bottom w:val="none" w:sz="0" w:space="0" w:color="auto"/>
        <w:right w:val="none" w:sz="0" w:space="0" w:color="auto"/>
      </w:divBdr>
    </w:div>
    <w:div w:id="440103227">
      <w:bodyDiv w:val="1"/>
      <w:marLeft w:val="0"/>
      <w:marRight w:val="0"/>
      <w:marTop w:val="0"/>
      <w:marBottom w:val="0"/>
      <w:divBdr>
        <w:top w:val="none" w:sz="0" w:space="0" w:color="auto"/>
        <w:left w:val="none" w:sz="0" w:space="0" w:color="auto"/>
        <w:bottom w:val="none" w:sz="0" w:space="0" w:color="auto"/>
        <w:right w:val="none" w:sz="0" w:space="0" w:color="auto"/>
      </w:divBdr>
    </w:div>
    <w:div w:id="452479528">
      <w:bodyDiv w:val="1"/>
      <w:marLeft w:val="0"/>
      <w:marRight w:val="0"/>
      <w:marTop w:val="0"/>
      <w:marBottom w:val="0"/>
      <w:divBdr>
        <w:top w:val="none" w:sz="0" w:space="0" w:color="auto"/>
        <w:left w:val="none" w:sz="0" w:space="0" w:color="auto"/>
        <w:bottom w:val="none" w:sz="0" w:space="0" w:color="auto"/>
        <w:right w:val="none" w:sz="0" w:space="0" w:color="auto"/>
      </w:divBdr>
    </w:div>
    <w:div w:id="463431180">
      <w:bodyDiv w:val="1"/>
      <w:marLeft w:val="0"/>
      <w:marRight w:val="0"/>
      <w:marTop w:val="0"/>
      <w:marBottom w:val="0"/>
      <w:divBdr>
        <w:top w:val="none" w:sz="0" w:space="0" w:color="auto"/>
        <w:left w:val="none" w:sz="0" w:space="0" w:color="auto"/>
        <w:bottom w:val="none" w:sz="0" w:space="0" w:color="auto"/>
        <w:right w:val="none" w:sz="0" w:space="0" w:color="auto"/>
      </w:divBdr>
    </w:div>
    <w:div w:id="466895502">
      <w:bodyDiv w:val="1"/>
      <w:marLeft w:val="0"/>
      <w:marRight w:val="0"/>
      <w:marTop w:val="0"/>
      <w:marBottom w:val="0"/>
      <w:divBdr>
        <w:top w:val="none" w:sz="0" w:space="0" w:color="auto"/>
        <w:left w:val="none" w:sz="0" w:space="0" w:color="auto"/>
        <w:bottom w:val="none" w:sz="0" w:space="0" w:color="auto"/>
        <w:right w:val="none" w:sz="0" w:space="0" w:color="auto"/>
      </w:divBdr>
    </w:div>
    <w:div w:id="467631257">
      <w:bodyDiv w:val="1"/>
      <w:marLeft w:val="0"/>
      <w:marRight w:val="0"/>
      <w:marTop w:val="0"/>
      <w:marBottom w:val="0"/>
      <w:divBdr>
        <w:top w:val="none" w:sz="0" w:space="0" w:color="auto"/>
        <w:left w:val="none" w:sz="0" w:space="0" w:color="auto"/>
        <w:bottom w:val="none" w:sz="0" w:space="0" w:color="auto"/>
        <w:right w:val="none" w:sz="0" w:space="0" w:color="auto"/>
      </w:divBdr>
    </w:div>
    <w:div w:id="469637360">
      <w:bodyDiv w:val="1"/>
      <w:marLeft w:val="0"/>
      <w:marRight w:val="0"/>
      <w:marTop w:val="0"/>
      <w:marBottom w:val="0"/>
      <w:divBdr>
        <w:top w:val="none" w:sz="0" w:space="0" w:color="auto"/>
        <w:left w:val="none" w:sz="0" w:space="0" w:color="auto"/>
        <w:bottom w:val="none" w:sz="0" w:space="0" w:color="auto"/>
        <w:right w:val="none" w:sz="0" w:space="0" w:color="auto"/>
      </w:divBdr>
    </w:div>
    <w:div w:id="490753169">
      <w:bodyDiv w:val="1"/>
      <w:marLeft w:val="0"/>
      <w:marRight w:val="0"/>
      <w:marTop w:val="0"/>
      <w:marBottom w:val="0"/>
      <w:divBdr>
        <w:top w:val="none" w:sz="0" w:space="0" w:color="auto"/>
        <w:left w:val="none" w:sz="0" w:space="0" w:color="auto"/>
        <w:bottom w:val="none" w:sz="0" w:space="0" w:color="auto"/>
        <w:right w:val="none" w:sz="0" w:space="0" w:color="auto"/>
      </w:divBdr>
    </w:div>
    <w:div w:id="497576659">
      <w:bodyDiv w:val="1"/>
      <w:marLeft w:val="0"/>
      <w:marRight w:val="0"/>
      <w:marTop w:val="0"/>
      <w:marBottom w:val="0"/>
      <w:divBdr>
        <w:top w:val="none" w:sz="0" w:space="0" w:color="auto"/>
        <w:left w:val="none" w:sz="0" w:space="0" w:color="auto"/>
        <w:bottom w:val="none" w:sz="0" w:space="0" w:color="auto"/>
        <w:right w:val="none" w:sz="0" w:space="0" w:color="auto"/>
      </w:divBdr>
    </w:div>
    <w:div w:id="511141358">
      <w:bodyDiv w:val="1"/>
      <w:marLeft w:val="0"/>
      <w:marRight w:val="0"/>
      <w:marTop w:val="0"/>
      <w:marBottom w:val="0"/>
      <w:divBdr>
        <w:top w:val="none" w:sz="0" w:space="0" w:color="auto"/>
        <w:left w:val="none" w:sz="0" w:space="0" w:color="auto"/>
        <w:bottom w:val="none" w:sz="0" w:space="0" w:color="auto"/>
        <w:right w:val="none" w:sz="0" w:space="0" w:color="auto"/>
      </w:divBdr>
    </w:div>
    <w:div w:id="513109012">
      <w:bodyDiv w:val="1"/>
      <w:marLeft w:val="0"/>
      <w:marRight w:val="0"/>
      <w:marTop w:val="0"/>
      <w:marBottom w:val="0"/>
      <w:divBdr>
        <w:top w:val="none" w:sz="0" w:space="0" w:color="auto"/>
        <w:left w:val="none" w:sz="0" w:space="0" w:color="auto"/>
        <w:bottom w:val="none" w:sz="0" w:space="0" w:color="auto"/>
        <w:right w:val="none" w:sz="0" w:space="0" w:color="auto"/>
      </w:divBdr>
    </w:div>
    <w:div w:id="514462117">
      <w:bodyDiv w:val="1"/>
      <w:marLeft w:val="0"/>
      <w:marRight w:val="0"/>
      <w:marTop w:val="0"/>
      <w:marBottom w:val="0"/>
      <w:divBdr>
        <w:top w:val="none" w:sz="0" w:space="0" w:color="auto"/>
        <w:left w:val="none" w:sz="0" w:space="0" w:color="auto"/>
        <w:bottom w:val="none" w:sz="0" w:space="0" w:color="auto"/>
        <w:right w:val="none" w:sz="0" w:space="0" w:color="auto"/>
      </w:divBdr>
    </w:div>
    <w:div w:id="520624757">
      <w:bodyDiv w:val="1"/>
      <w:marLeft w:val="0"/>
      <w:marRight w:val="0"/>
      <w:marTop w:val="0"/>
      <w:marBottom w:val="0"/>
      <w:divBdr>
        <w:top w:val="none" w:sz="0" w:space="0" w:color="auto"/>
        <w:left w:val="none" w:sz="0" w:space="0" w:color="auto"/>
        <w:bottom w:val="none" w:sz="0" w:space="0" w:color="auto"/>
        <w:right w:val="none" w:sz="0" w:space="0" w:color="auto"/>
      </w:divBdr>
    </w:div>
    <w:div w:id="523176089">
      <w:bodyDiv w:val="1"/>
      <w:marLeft w:val="0"/>
      <w:marRight w:val="0"/>
      <w:marTop w:val="0"/>
      <w:marBottom w:val="0"/>
      <w:divBdr>
        <w:top w:val="none" w:sz="0" w:space="0" w:color="auto"/>
        <w:left w:val="none" w:sz="0" w:space="0" w:color="auto"/>
        <w:bottom w:val="none" w:sz="0" w:space="0" w:color="auto"/>
        <w:right w:val="none" w:sz="0" w:space="0" w:color="auto"/>
      </w:divBdr>
    </w:div>
    <w:div w:id="535196410">
      <w:bodyDiv w:val="1"/>
      <w:marLeft w:val="0"/>
      <w:marRight w:val="0"/>
      <w:marTop w:val="0"/>
      <w:marBottom w:val="0"/>
      <w:divBdr>
        <w:top w:val="none" w:sz="0" w:space="0" w:color="auto"/>
        <w:left w:val="none" w:sz="0" w:space="0" w:color="auto"/>
        <w:bottom w:val="none" w:sz="0" w:space="0" w:color="auto"/>
        <w:right w:val="none" w:sz="0" w:space="0" w:color="auto"/>
      </w:divBdr>
    </w:div>
    <w:div w:id="541484501">
      <w:bodyDiv w:val="1"/>
      <w:marLeft w:val="0"/>
      <w:marRight w:val="0"/>
      <w:marTop w:val="0"/>
      <w:marBottom w:val="0"/>
      <w:divBdr>
        <w:top w:val="none" w:sz="0" w:space="0" w:color="auto"/>
        <w:left w:val="none" w:sz="0" w:space="0" w:color="auto"/>
        <w:bottom w:val="none" w:sz="0" w:space="0" w:color="auto"/>
        <w:right w:val="none" w:sz="0" w:space="0" w:color="auto"/>
      </w:divBdr>
    </w:div>
    <w:div w:id="553664178">
      <w:bodyDiv w:val="1"/>
      <w:marLeft w:val="0"/>
      <w:marRight w:val="0"/>
      <w:marTop w:val="0"/>
      <w:marBottom w:val="0"/>
      <w:divBdr>
        <w:top w:val="none" w:sz="0" w:space="0" w:color="auto"/>
        <w:left w:val="none" w:sz="0" w:space="0" w:color="auto"/>
        <w:bottom w:val="none" w:sz="0" w:space="0" w:color="auto"/>
        <w:right w:val="none" w:sz="0" w:space="0" w:color="auto"/>
      </w:divBdr>
    </w:div>
    <w:div w:id="568350390">
      <w:bodyDiv w:val="1"/>
      <w:marLeft w:val="0"/>
      <w:marRight w:val="0"/>
      <w:marTop w:val="0"/>
      <w:marBottom w:val="0"/>
      <w:divBdr>
        <w:top w:val="none" w:sz="0" w:space="0" w:color="auto"/>
        <w:left w:val="none" w:sz="0" w:space="0" w:color="auto"/>
        <w:bottom w:val="none" w:sz="0" w:space="0" w:color="auto"/>
        <w:right w:val="none" w:sz="0" w:space="0" w:color="auto"/>
      </w:divBdr>
    </w:div>
    <w:div w:id="574971027">
      <w:bodyDiv w:val="1"/>
      <w:marLeft w:val="0"/>
      <w:marRight w:val="0"/>
      <w:marTop w:val="0"/>
      <w:marBottom w:val="0"/>
      <w:divBdr>
        <w:top w:val="none" w:sz="0" w:space="0" w:color="auto"/>
        <w:left w:val="none" w:sz="0" w:space="0" w:color="auto"/>
        <w:bottom w:val="none" w:sz="0" w:space="0" w:color="auto"/>
        <w:right w:val="none" w:sz="0" w:space="0" w:color="auto"/>
      </w:divBdr>
    </w:div>
    <w:div w:id="604727637">
      <w:bodyDiv w:val="1"/>
      <w:marLeft w:val="0"/>
      <w:marRight w:val="0"/>
      <w:marTop w:val="0"/>
      <w:marBottom w:val="0"/>
      <w:divBdr>
        <w:top w:val="none" w:sz="0" w:space="0" w:color="auto"/>
        <w:left w:val="none" w:sz="0" w:space="0" w:color="auto"/>
        <w:bottom w:val="none" w:sz="0" w:space="0" w:color="auto"/>
        <w:right w:val="none" w:sz="0" w:space="0" w:color="auto"/>
      </w:divBdr>
    </w:div>
    <w:div w:id="605112523">
      <w:bodyDiv w:val="1"/>
      <w:marLeft w:val="0"/>
      <w:marRight w:val="0"/>
      <w:marTop w:val="0"/>
      <w:marBottom w:val="0"/>
      <w:divBdr>
        <w:top w:val="none" w:sz="0" w:space="0" w:color="auto"/>
        <w:left w:val="none" w:sz="0" w:space="0" w:color="auto"/>
        <w:bottom w:val="none" w:sz="0" w:space="0" w:color="auto"/>
        <w:right w:val="none" w:sz="0" w:space="0" w:color="auto"/>
      </w:divBdr>
    </w:div>
    <w:div w:id="614749451">
      <w:bodyDiv w:val="1"/>
      <w:marLeft w:val="0"/>
      <w:marRight w:val="0"/>
      <w:marTop w:val="0"/>
      <w:marBottom w:val="0"/>
      <w:divBdr>
        <w:top w:val="none" w:sz="0" w:space="0" w:color="auto"/>
        <w:left w:val="none" w:sz="0" w:space="0" w:color="auto"/>
        <w:bottom w:val="none" w:sz="0" w:space="0" w:color="auto"/>
        <w:right w:val="none" w:sz="0" w:space="0" w:color="auto"/>
      </w:divBdr>
    </w:div>
    <w:div w:id="623853014">
      <w:bodyDiv w:val="1"/>
      <w:marLeft w:val="0"/>
      <w:marRight w:val="0"/>
      <w:marTop w:val="0"/>
      <w:marBottom w:val="0"/>
      <w:divBdr>
        <w:top w:val="none" w:sz="0" w:space="0" w:color="auto"/>
        <w:left w:val="none" w:sz="0" w:space="0" w:color="auto"/>
        <w:bottom w:val="none" w:sz="0" w:space="0" w:color="auto"/>
        <w:right w:val="none" w:sz="0" w:space="0" w:color="auto"/>
      </w:divBdr>
    </w:div>
    <w:div w:id="641739820">
      <w:bodyDiv w:val="1"/>
      <w:marLeft w:val="0"/>
      <w:marRight w:val="0"/>
      <w:marTop w:val="0"/>
      <w:marBottom w:val="0"/>
      <w:divBdr>
        <w:top w:val="none" w:sz="0" w:space="0" w:color="auto"/>
        <w:left w:val="none" w:sz="0" w:space="0" w:color="auto"/>
        <w:bottom w:val="none" w:sz="0" w:space="0" w:color="auto"/>
        <w:right w:val="none" w:sz="0" w:space="0" w:color="auto"/>
      </w:divBdr>
    </w:div>
    <w:div w:id="643658457">
      <w:bodyDiv w:val="1"/>
      <w:marLeft w:val="0"/>
      <w:marRight w:val="0"/>
      <w:marTop w:val="0"/>
      <w:marBottom w:val="0"/>
      <w:divBdr>
        <w:top w:val="none" w:sz="0" w:space="0" w:color="auto"/>
        <w:left w:val="none" w:sz="0" w:space="0" w:color="auto"/>
        <w:bottom w:val="none" w:sz="0" w:space="0" w:color="auto"/>
        <w:right w:val="none" w:sz="0" w:space="0" w:color="auto"/>
      </w:divBdr>
    </w:div>
    <w:div w:id="648559385">
      <w:bodyDiv w:val="1"/>
      <w:marLeft w:val="0"/>
      <w:marRight w:val="0"/>
      <w:marTop w:val="0"/>
      <w:marBottom w:val="0"/>
      <w:divBdr>
        <w:top w:val="none" w:sz="0" w:space="0" w:color="auto"/>
        <w:left w:val="none" w:sz="0" w:space="0" w:color="auto"/>
        <w:bottom w:val="none" w:sz="0" w:space="0" w:color="auto"/>
        <w:right w:val="none" w:sz="0" w:space="0" w:color="auto"/>
      </w:divBdr>
    </w:div>
    <w:div w:id="651180119">
      <w:bodyDiv w:val="1"/>
      <w:marLeft w:val="0"/>
      <w:marRight w:val="0"/>
      <w:marTop w:val="0"/>
      <w:marBottom w:val="0"/>
      <w:divBdr>
        <w:top w:val="none" w:sz="0" w:space="0" w:color="auto"/>
        <w:left w:val="none" w:sz="0" w:space="0" w:color="auto"/>
        <w:bottom w:val="none" w:sz="0" w:space="0" w:color="auto"/>
        <w:right w:val="none" w:sz="0" w:space="0" w:color="auto"/>
      </w:divBdr>
    </w:div>
    <w:div w:id="652025595">
      <w:bodyDiv w:val="1"/>
      <w:marLeft w:val="0"/>
      <w:marRight w:val="0"/>
      <w:marTop w:val="0"/>
      <w:marBottom w:val="0"/>
      <w:divBdr>
        <w:top w:val="none" w:sz="0" w:space="0" w:color="auto"/>
        <w:left w:val="none" w:sz="0" w:space="0" w:color="auto"/>
        <w:bottom w:val="none" w:sz="0" w:space="0" w:color="auto"/>
        <w:right w:val="none" w:sz="0" w:space="0" w:color="auto"/>
      </w:divBdr>
    </w:div>
    <w:div w:id="654646471">
      <w:bodyDiv w:val="1"/>
      <w:marLeft w:val="0"/>
      <w:marRight w:val="0"/>
      <w:marTop w:val="0"/>
      <w:marBottom w:val="0"/>
      <w:divBdr>
        <w:top w:val="none" w:sz="0" w:space="0" w:color="auto"/>
        <w:left w:val="none" w:sz="0" w:space="0" w:color="auto"/>
        <w:bottom w:val="none" w:sz="0" w:space="0" w:color="auto"/>
        <w:right w:val="none" w:sz="0" w:space="0" w:color="auto"/>
      </w:divBdr>
    </w:div>
    <w:div w:id="680930821">
      <w:bodyDiv w:val="1"/>
      <w:marLeft w:val="0"/>
      <w:marRight w:val="0"/>
      <w:marTop w:val="0"/>
      <w:marBottom w:val="0"/>
      <w:divBdr>
        <w:top w:val="none" w:sz="0" w:space="0" w:color="auto"/>
        <w:left w:val="none" w:sz="0" w:space="0" w:color="auto"/>
        <w:bottom w:val="none" w:sz="0" w:space="0" w:color="auto"/>
        <w:right w:val="none" w:sz="0" w:space="0" w:color="auto"/>
      </w:divBdr>
    </w:div>
    <w:div w:id="680932096">
      <w:bodyDiv w:val="1"/>
      <w:marLeft w:val="0"/>
      <w:marRight w:val="0"/>
      <w:marTop w:val="0"/>
      <w:marBottom w:val="0"/>
      <w:divBdr>
        <w:top w:val="none" w:sz="0" w:space="0" w:color="auto"/>
        <w:left w:val="none" w:sz="0" w:space="0" w:color="auto"/>
        <w:bottom w:val="none" w:sz="0" w:space="0" w:color="auto"/>
        <w:right w:val="none" w:sz="0" w:space="0" w:color="auto"/>
      </w:divBdr>
    </w:div>
    <w:div w:id="682322589">
      <w:bodyDiv w:val="1"/>
      <w:marLeft w:val="0"/>
      <w:marRight w:val="0"/>
      <w:marTop w:val="0"/>
      <w:marBottom w:val="0"/>
      <w:divBdr>
        <w:top w:val="none" w:sz="0" w:space="0" w:color="auto"/>
        <w:left w:val="none" w:sz="0" w:space="0" w:color="auto"/>
        <w:bottom w:val="none" w:sz="0" w:space="0" w:color="auto"/>
        <w:right w:val="none" w:sz="0" w:space="0" w:color="auto"/>
      </w:divBdr>
    </w:div>
    <w:div w:id="690373360">
      <w:bodyDiv w:val="1"/>
      <w:marLeft w:val="0"/>
      <w:marRight w:val="0"/>
      <w:marTop w:val="0"/>
      <w:marBottom w:val="0"/>
      <w:divBdr>
        <w:top w:val="none" w:sz="0" w:space="0" w:color="auto"/>
        <w:left w:val="none" w:sz="0" w:space="0" w:color="auto"/>
        <w:bottom w:val="none" w:sz="0" w:space="0" w:color="auto"/>
        <w:right w:val="none" w:sz="0" w:space="0" w:color="auto"/>
      </w:divBdr>
    </w:div>
    <w:div w:id="697506329">
      <w:bodyDiv w:val="1"/>
      <w:marLeft w:val="0"/>
      <w:marRight w:val="0"/>
      <w:marTop w:val="0"/>
      <w:marBottom w:val="0"/>
      <w:divBdr>
        <w:top w:val="none" w:sz="0" w:space="0" w:color="auto"/>
        <w:left w:val="none" w:sz="0" w:space="0" w:color="auto"/>
        <w:bottom w:val="none" w:sz="0" w:space="0" w:color="auto"/>
        <w:right w:val="none" w:sz="0" w:space="0" w:color="auto"/>
      </w:divBdr>
    </w:div>
    <w:div w:id="717246097">
      <w:bodyDiv w:val="1"/>
      <w:marLeft w:val="0"/>
      <w:marRight w:val="0"/>
      <w:marTop w:val="0"/>
      <w:marBottom w:val="0"/>
      <w:divBdr>
        <w:top w:val="none" w:sz="0" w:space="0" w:color="auto"/>
        <w:left w:val="none" w:sz="0" w:space="0" w:color="auto"/>
        <w:bottom w:val="none" w:sz="0" w:space="0" w:color="auto"/>
        <w:right w:val="none" w:sz="0" w:space="0" w:color="auto"/>
      </w:divBdr>
    </w:div>
    <w:div w:id="724572701">
      <w:bodyDiv w:val="1"/>
      <w:marLeft w:val="0"/>
      <w:marRight w:val="0"/>
      <w:marTop w:val="0"/>
      <w:marBottom w:val="0"/>
      <w:divBdr>
        <w:top w:val="none" w:sz="0" w:space="0" w:color="auto"/>
        <w:left w:val="none" w:sz="0" w:space="0" w:color="auto"/>
        <w:bottom w:val="none" w:sz="0" w:space="0" w:color="auto"/>
        <w:right w:val="none" w:sz="0" w:space="0" w:color="auto"/>
      </w:divBdr>
    </w:div>
    <w:div w:id="739139492">
      <w:bodyDiv w:val="1"/>
      <w:marLeft w:val="0"/>
      <w:marRight w:val="0"/>
      <w:marTop w:val="0"/>
      <w:marBottom w:val="0"/>
      <w:divBdr>
        <w:top w:val="none" w:sz="0" w:space="0" w:color="auto"/>
        <w:left w:val="none" w:sz="0" w:space="0" w:color="auto"/>
        <w:bottom w:val="none" w:sz="0" w:space="0" w:color="auto"/>
        <w:right w:val="none" w:sz="0" w:space="0" w:color="auto"/>
      </w:divBdr>
    </w:div>
    <w:div w:id="744953819">
      <w:bodyDiv w:val="1"/>
      <w:marLeft w:val="0"/>
      <w:marRight w:val="0"/>
      <w:marTop w:val="0"/>
      <w:marBottom w:val="0"/>
      <w:divBdr>
        <w:top w:val="none" w:sz="0" w:space="0" w:color="auto"/>
        <w:left w:val="none" w:sz="0" w:space="0" w:color="auto"/>
        <w:bottom w:val="none" w:sz="0" w:space="0" w:color="auto"/>
        <w:right w:val="none" w:sz="0" w:space="0" w:color="auto"/>
      </w:divBdr>
    </w:div>
    <w:div w:id="747311865">
      <w:bodyDiv w:val="1"/>
      <w:marLeft w:val="0"/>
      <w:marRight w:val="0"/>
      <w:marTop w:val="0"/>
      <w:marBottom w:val="0"/>
      <w:divBdr>
        <w:top w:val="none" w:sz="0" w:space="0" w:color="auto"/>
        <w:left w:val="none" w:sz="0" w:space="0" w:color="auto"/>
        <w:bottom w:val="none" w:sz="0" w:space="0" w:color="auto"/>
        <w:right w:val="none" w:sz="0" w:space="0" w:color="auto"/>
      </w:divBdr>
    </w:div>
    <w:div w:id="757219268">
      <w:bodyDiv w:val="1"/>
      <w:marLeft w:val="0"/>
      <w:marRight w:val="0"/>
      <w:marTop w:val="0"/>
      <w:marBottom w:val="0"/>
      <w:divBdr>
        <w:top w:val="none" w:sz="0" w:space="0" w:color="auto"/>
        <w:left w:val="none" w:sz="0" w:space="0" w:color="auto"/>
        <w:bottom w:val="none" w:sz="0" w:space="0" w:color="auto"/>
        <w:right w:val="none" w:sz="0" w:space="0" w:color="auto"/>
      </w:divBdr>
    </w:div>
    <w:div w:id="761028164">
      <w:bodyDiv w:val="1"/>
      <w:marLeft w:val="0"/>
      <w:marRight w:val="0"/>
      <w:marTop w:val="0"/>
      <w:marBottom w:val="0"/>
      <w:divBdr>
        <w:top w:val="none" w:sz="0" w:space="0" w:color="auto"/>
        <w:left w:val="none" w:sz="0" w:space="0" w:color="auto"/>
        <w:bottom w:val="none" w:sz="0" w:space="0" w:color="auto"/>
        <w:right w:val="none" w:sz="0" w:space="0" w:color="auto"/>
      </w:divBdr>
    </w:div>
    <w:div w:id="765267950">
      <w:bodyDiv w:val="1"/>
      <w:marLeft w:val="0"/>
      <w:marRight w:val="0"/>
      <w:marTop w:val="0"/>
      <w:marBottom w:val="0"/>
      <w:divBdr>
        <w:top w:val="none" w:sz="0" w:space="0" w:color="auto"/>
        <w:left w:val="none" w:sz="0" w:space="0" w:color="auto"/>
        <w:bottom w:val="none" w:sz="0" w:space="0" w:color="auto"/>
        <w:right w:val="none" w:sz="0" w:space="0" w:color="auto"/>
      </w:divBdr>
    </w:div>
    <w:div w:id="766344790">
      <w:bodyDiv w:val="1"/>
      <w:marLeft w:val="0"/>
      <w:marRight w:val="0"/>
      <w:marTop w:val="0"/>
      <w:marBottom w:val="0"/>
      <w:divBdr>
        <w:top w:val="none" w:sz="0" w:space="0" w:color="auto"/>
        <w:left w:val="none" w:sz="0" w:space="0" w:color="auto"/>
        <w:bottom w:val="none" w:sz="0" w:space="0" w:color="auto"/>
        <w:right w:val="none" w:sz="0" w:space="0" w:color="auto"/>
      </w:divBdr>
    </w:div>
    <w:div w:id="788202092">
      <w:bodyDiv w:val="1"/>
      <w:marLeft w:val="0"/>
      <w:marRight w:val="0"/>
      <w:marTop w:val="0"/>
      <w:marBottom w:val="0"/>
      <w:divBdr>
        <w:top w:val="none" w:sz="0" w:space="0" w:color="auto"/>
        <w:left w:val="none" w:sz="0" w:space="0" w:color="auto"/>
        <w:bottom w:val="none" w:sz="0" w:space="0" w:color="auto"/>
        <w:right w:val="none" w:sz="0" w:space="0" w:color="auto"/>
      </w:divBdr>
    </w:div>
    <w:div w:id="804127366">
      <w:bodyDiv w:val="1"/>
      <w:marLeft w:val="0"/>
      <w:marRight w:val="0"/>
      <w:marTop w:val="0"/>
      <w:marBottom w:val="0"/>
      <w:divBdr>
        <w:top w:val="none" w:sz="0" w:space="0" w:color="auto"/>
        <w:left w:val="none" w:sz="0" w:space="0" w:color="auto"/>
        <w:bottom w:val="none" w:sz="0" w:space="0" w:color="auto"/>
        <w:right w:val="none" w:sz="0" w:space="0" w:color="auto"/>
      </w:divBdr>
    </w:div>
    <w:div w:id="804470822">
      <w:bodyDiv w:val="1"/>
      <w:marLeft w:val="0"/>
      <w:marRight w:val="0"/>
      <w:marTop w:val="0"/>
      <w:marBottom w:val="0"/>
      <w:divBdr>
        <w:top w:val="none" w:sz="0" w:space="0" w:color="auto"/>
        <w:left w:val="none" w:sz="0" w:space="0" w:color="auto"/>
        <w:bottom w:val="none" w:sz="0" w:space="0" w:color="auto"/>
        <w:right w:val="none" w:sz="0" w:space="0" w:color="auto"/>
      </w:divBdr>
    </w:div>
    <w:div w:id="811757334">
      <w:bodyDiv w:val="1"/>
      <w:marLeft w:val="0"/>
      <w:marRight w:val="0"/>
      <w:marTop w:val="0"/>
      <w:marBottom w:val="0"/>
      <w:divBdr>
        <w:top w:val="none" w:sz="0" w:space="0" w:color="auto"/>
        <w:left w:val="none" w:sz="0" w:space="0" w:color="auto"/>
        <w:bottom w:val="none" w:sz="0" w:space="0" w:color="auto"/>
        <w:right w:val="none" w:sz="0" w:space="0" w:color="auto"/>
      </w:divBdr>
    </w:div>
    <w:div w:id="813255842">
      <w:bodyDiv w:val="1"/>
      <w:marLeft w:val="0"/>
      <w:marRight w:val="0"/>
      <w:marTop w:val="0"/>
      <w:marBottom w:val="0"/>
      <w:divBdr>
        <w:top w:val="none" w:sz="0" w:space="0" w:color="auto"/>
        <w:left w:val="none" w:sz="0" w:space="0" w:color="auto"/>
        <w:bottom w:val="none" w:sz="0" w:space="0" w:color="auto"/>
        <w:right w:val="none" w:sz="0" w:space="0" w:color="auto"/>
      </w:divBdr>
    </w:div>
    <w:div w:id="822769692">
      <w:bodyDiv w:val="1"/>
      <w:marLeft w:val="0"/>
      <w:marRight w:val="0"/>
      <w:marTop w:val="0"/>
      <w:marBottom w:val="0"/>
      <w:divBdr>
        <w:top w:val="none" w:sz="0" w:space="0" w:color="auto"/>
        <w:left w:val="none" w:sz="0" w:space="0" w:color="auto"/>
        <w:bottom w:val="none" w:sz="0" w:space="0" w:color="auto"/>
        <w:right w:val="none" w:sz="0" w:space="0" w:color="auto"/>
      </w:divBdr>
    </w:div>
    <w:div w:id="825708487">
      <w:bodyDiv w:val="1"/>
      <w:marLeft w:val="0"/>
      <w:marRight w:val="0"/>
      <w:marTop w:val="0"/>
      <w:marBottom w:val="0"/>
      <w:divBdr>
        <w:top w:val="none" w:sz="0" w:space="0" w:color="auto"/>
        <w:left w:val="none" w:sz="0" w:space="0" w:color="auto"/>
        <w:bottom w:val="none" w:sz="0" w:space="0" w:color="auto"/>
        <w:right w:val="none" w:sz="0" w:space="0" w:color="auto"/>
      </w:divBdr>
    </w:div>
    <w:div w:id="841312105">
      <w:bodyDiv w:val="1"/>
      <w:marLeft w:val="0"/>
      <w:marRight w:val="0"/>
      <w:marTop w:val="0"/>
      <w:marBottom w:val="0"/>
      <w:divBdr>
        <w:top w:val="none" w:sz="0" w:space="0" w:color="auto"/>
        <w:left w:val="none" w:sz="0" w:space="0" w:color="auto"/>
        <w:bottom w:val="none" w:sz="0" w:space="0" w:color="auto"/>
        <w:right w:val="none" w:sz="0" w:space="0" w:color="auto"/>
      </w:divBdr>
    </w:div>
    <w:div w:id="857236935">
      <w:bodyDiv w:val="1"/>
      <w:marLeft w:val="0"/>
      <w:marRight w:val="0"/>
      <w:marTop w:val="0"/>
      <w:marBottom w:val="0"/>
      <w:divBdr>
        <w:top w:val="none" w:sz="0" w:space="0" w:color="auto"/>
        <w:left w:val="none" w:sz="0" w:space="0" w:color="auto"/>
        <w:bottom w:val="none" w:sz="0" w:space="0" w:color="auto"/>
        <w:right w:val="none" w:sz="0" w:space="0" w:color="auto"/>
      </w:divBdr>
    </w:div>
    <w:div w:id="864637710">
      <w:bodyDiv w:val="1"/>
      <w:marLeft w:val="0"/>
      <w:marRight w:val="0"/>
      <w:marTop w:val="0"/>
      <w:marBottom w:val="0"/>
      <w:divBdr>
        <w:top w:val="none" w:sz="0" w:space="0" w:color="auto"/>
        <w:left w:val="none" w:sz="0" w:space="0" w:color="auto"/>
        <w:bottom w:val="none" w:sz="0" w:space="0" w:color="auto"/>
        <w:right w:val="none" w:sz="0" w:space="0" w:color="auto"/>
      </w:divBdr>
    </w:div>
    <w:div w:id="883718746">
      <w:bodyDiv w:val="1"/>
      <w:marLeft w:val="0"/>
      <w:marRight w:val="0"/>
      <w:marTop w:val="0"/>
      <w:marBottom w:val="0"/>
      <w:divBdr>
        <w:top w:val="none" w:sz="0" w:space="0" w:color="auto"/>
        <w:left w:val="none" w:sz="0" w:space="0" w:color="auto"/>
        <w:bottom w:val="none" w:sz="0" w:space="0" w:color="auto"/>
        <w:right w:val="none" w:sz="0" w:space="0" w:color="auto"/>
      </w:divBdr>
    </w:div>
    <w:div w:id="884828898">
      <w:bodyDiv w:val="1"/>
      <w:marLeft w:val="0"/>
      <w:marRight w:val="0"/>
      <w:marTop w:val="0"/>
      <w:marBottom w:val="0"/>
      <w:divBdr>
        <w:top w:val="none" w:sz="0" w:space="0" w:color="auto"/>
        <w:left w:val="none" w:sz="0" w:space="0" w:color="auto"/>
        <w:bottom w:val="none" w:sz="0" w:space="0" w:color="auto"/>
        <w:right w:val="none" w:sz="0" w:space="0" w:color="auto"/>
      </w:divBdr>
    </w:div>
    <w:div w:id="898712755">
      <w:bodyDiv w:val="1"/>
      <w:marLeft w:val="0"/>
      <w:marRight w:val="0"/>
      <w:marTop w:val="0"/>
      <w:marBottom w:val="0"/>
      <w:divBdr>
        <w:top w:val="none" w:sz="0" w:space="0" w:color="auto"/>
        <w:left w:val="none" w:sz="0" w:space="0" w:color="auto"/>
        <w:bottom w:val="none" w:sz="0" w:space="0" w:color="auto"/>
        <w:right w:val="none" w:sz="0" w:space="0" w:color="auto"/>
      </w:divBdr>
    </w:div>
    <w:div w:id="904998224">
      <w:bodyDiv w:val="1"/>
      <w:marLeft w:val="0"/>
      <w:marRight w:val="0"/>
      <w:marTop w:val="0"/>
      <w:marBottom w:val="0"/>
      <w:divBdr>
        <w:top w:val="none" w:sz="0" w:space="0" w:color="auto"/>
        <w:left w:val="none" w:sz="0" w:space="0" w:color="auto"/>
        <w:bottom w:val="none" w:sz="0" w:space="0" w:color="auto"/>
        <w:right w:val="none" w:sz="0" w:space="0" w:color="auto"/>
      </w:divBdr>
    </w:div>
    <w:div w:id="910190264">
      <w:bodyDiv w:val="1"/>
      <w:marLeft w:val="0"/>
      <w:marRight w:val="0"/>
      <w:marTop w:val="0"/>
      <w:marBottom w:val="0"/>
      <w:divBdr>
        <w:top w:val="none" w:sz="0" w:space="0" w:color="auto"/>
        <w:left w:val="none" w:sz="0" w:space="0" w:color="auto"/>
        <w:bottom w:val="none" w:sz="0" w:space="0" w:color="auto"/>
        <w:right w:val="none" w:sz="0" w:space="0" w:color="auto"/>
      </w:divBdr>
    </w:div>
    <w:div w:id="911887481">
      <w:bodyDiv w:val="1"/>
      <w:marLeft w:val="0"/>
      <w:marRight w:val="0"/>
      <w:marTop w:val="0"/>
      <w:marBottom w:val="0"/>
      <w:divBdr>
        <w:top w:val="none" w:sz="0" w:space="0" w:color="auto"/>
        <w:left w:val="none" w:sz="0" w:space="0" w:color="auto"/>
        <w:bottom w:val="none" w:sz="0" w:space="0" w:color="auto"/>
        <w:right w:val="none" w:sz="0" w:space="0" w:color="auto"/>
      </w:divBdr>
    </w:div>
    <w:div w:id="923340281">
      <w:bodyDiv w:val="1"/>
      <w:marLeft w:val="0"/>
      <w:marRight w:val="0"/>
      <w:marTop w:val="0"/>
      <w:marBottom w:val="0"/>
      <w:divBdr>
        <w:top w:val="none" w:sz="0" w:space="0" w:color="auto"/>
        <w:left w:val="none" w:sz="0" w:space="0" w:color="auto"/>
        <w:bottom w:val="none" w:sz="0" w:space="0" w:color="auto"/>
        <w:right w:val="none" w:sz="0" w:space="0" w:color="auto"/>
      </w:divBdr>
    </w:div>
    <w:div w:id="924846071">
      <w:bodyDiv w:val="1"/>
      <w:marLeft w:val="0"/>
      <w:marRight w:val="0"/>
      <w:marTop w:val="0"/>
      <w:marBottom w:val="0"/>
      <w:divBdr>
        <w:top w:val="none" w:sz="0" w:space="0" w:color="auto"/>
        <w:left w:val="none" w:sz="0" w:space="0" w:color="auto"/>
        <w:bottom w:val="none" w:sz="0" w:space="0" w:color="auto"/>
        <w:right w:val="none" w:sz="0" w:space="0" w:color="auto"/>
      </w:divBdr>
    </w:div>
    <w:div w:id="929849201">
      <w:bodyDiv w:val="1"/>
      <w:marLeft w:val="0"/>
      <w:marRight w:val="0"/>
      <w:marTop w:val="0"/>
      <w:marBottom w:val="0"/>
      <w:divBdr>
        <w:top w:val="none" w:sz="0" w:space="0" w:color="auto"/>
        <w:left w:val="none" w:sz="0" w:space="0" w:color="auto"/>
        <w:bottom w:val="none" w:sz="0" w:space="0" w:color="auto"/>
        <w:right w:val="none" w:sz="0" w:space="0" w:color="auto"/>
      </w:divBdr>
    </w:div>
    <w:div w:id="932128831">
      <w:bodyDiv w:val="1"/>
      <w:marLeft w:val="0"/>
      <w:marRight w:val="0"/>
      <w:marTop w:val="0"/>
      <w:marBottom w:val="0"/>
      <w:divBdr>
        <w:top w:val="none" w:sz="0" w:space="0" w:color="auto"/>
        <w:left w:val="none" w:sz="0" w:space="0" w:color="auto"/>
        <w:bottom w:val="none" w:sz="0" w:space="0" w:color="auto"/>
        <w:right w:val="none" w:sz="0" w:space="0" w:color="auto"/>
      </w:divBdr>
    </w:div>
    <w:div w:id="935408293">
      <w:bodyDiv w:val="1"/>
      <w:marLeft w:val="0"/>
      <w:marRight w:val="0"/>
      <w:marTop w:val="0"/>
      <w:marBottom w:val="0"/>
      <w:divBdr>
        <w:top w:val="none" w:sz="0" w:space="0" w:color="auto"/>
        <w:left w:val="none" w:sz="0" w:space="0" w:color="auto"/>
        <w:bottom w:val="none" w:sz="0" w:space="0" w:color="auto"/>
        <w:right w:val="none" w:sz="0" w:space="0" w:color="auto"/>
      </w:divBdr>
      <w:divsChild>
        <w:div w:id="42022206">
          <w:marLeft w:val="1080"/>
          <w:marRight w:val="0"/>
          <w:marTop w:val="0"/>
          <w:marBottom w:val="0"/>
          <w:divBdr>
            <w:top w:val="none" w:sz="0" w:space="0" w:color="auto"/>
            <w:left w:val="none" w:sz="0" w:space="0" w:color="auto"/>
            <w:bottom w:val="none" w:sz="0" w:space="0" w:color="auto"/>
            <w:right w:val="none" w:sz="0" w:space="0" w:color="auto"/>
          </w:divBdr>
        </w:div>
        <w:div w:id="97533292">
          <w:marLeft w:val="1080"/>
          <w:marRight w:val="0"/>
          <w:marTop w:val="0"/>
          <w:marBottom w:val="0"/>
          <w:divBdr>
            <w:top w:val="none" w:sz="0" w:space="0" w:color="auto"/>
            <w:left w:val="none" w:sz="0" w:space="0" w:color="auto"/>
            <w:bottom w:val="none" w:sz="0" w:space="0" w:color="auto"/>
            <w:right w:val="none" w:sz="0" w:space="0" w:color="auto"/>
          </w:divBdr>
        </w:div>
        <w:div w:id="201136626">
          <w:marLeft w:val="1080"/>
          <w:marRight w:val="0"/>
          <w:marTop w:val="0"/>
          <w:marBottom w:val="0"/>
          <w:divBdr>
            <w:top w:val="none" w:sz="0" w:space="0" w:color="auto"/>
            <w:left w:val="none" w:sz="0" w:space="0" w:color="auto"/>
            <w:bottom w:val="none" w:sz="0" w:space="0" w:color="auto"/>
            <w:right w:val="none" w:sz="0" w:space="0" w:color="auto"/>
          </w:divBdr>
        </w:div>
        <w:div w:id="351303025">
          <w:marLeft w:val="1080"/>
          <w:marRight w:val="0"/>
          <w:marTop w:val="0"/>
          <w:marBottom w:val="0"/>
          <w:divBdr>
            <w:top w:val="none" w:sz="0" w:space="0" w:color="auto"/>
            <w:left w:val="none" w:sz="0" w:space="0" w:color="auto"/>
            <w:bottom w:val="none" w:sz="0" w:space="0" w:color="auto"/>
            <w:right w:val="none" w:sz="0" w:space="0" w:color="auto"/>
          </w:divBdr>
        </w:div>
        <w:div w:id="996961835">
          <w:marLeft w:val="1080"/>
          <w:marRight w:val="0"/>
          <w:marTop w:val="0"/>
          <w:marBottom w:val="0"/>
          <w:divBdr>
            <w:top w:val="none" w:sz="0" w:space="0" w:color="auto"/>
            <w:left w:val="none" w:sz="0" w:space="0" w:color="auto"/>
            <w:bottom w:val="none" w:sz="0" w:space="0" w:color="auto"/>
            <w:right w:val="none" w:sz="0" w:space="0" w:color="auto"/>
          </w:divBdr>
        </w:div>
        <w:div w:id="1114595046">
          <w:marLeft w:val="360"/>
          <w:marRight w:val="0"/>
          <w:marTop w:val="0"/>
          <w:marBottom w:val="0"/>
          <w:divBdr>
            <w:top w:val="none" w:sz="0" w:space="0" w:color="auto"/>
            <w:left w:val="none" w:sz="0" w:space="0" w:color="auto"/>
            <w:bottom w:val="none" w:sz="0" w:space="0" w:color="auto"/>
            <w:right w:val="none" w:sz="0" w:space="0" w:color="auto"/>
          </w:divBdr>
        </w:div>
        <w:div w:id="1228029549">
          <w:marLeft w:val="1080"/>
          <w:marRight w:val="0"/>
          <w:marTop w:val="0"/>
          <w:marBottom w:val="0"/>
          <w:divBdr>
            <w:top w:val="none" w:sz="0" w:space="0" w:color="auto"/>
            <w:left w:val="none" w:sz="0" w:space="0" w:color="auto"/>
            <w:bottom w:val="none" w:sz="0" w:space="0" w:color="auto"/>
            <w:right w:val="none" w:sz="0" w:space="0" w:color="auto"/>
          </w:divBdr>
        </w:div>
        <w:div w:id="1235967584">
          <w:marLeft w:val="1699"/>
          <w:marRight w:val="0"/>
          <w:marTop w:val="0"/>
          <w:marBottom w:val="0"/>
          <w:divBdr>
            <w:top w:val="none" w:sz="0" w:space="0" w:color="auto"/>
            <w:left w:val="none" w:sz="0" w:space="0" w:color="auto"/>
            <w:bottom w:val="none" w:sz="0" w:space="0" w:color="auto"/>
            <w:right w:val="none" w:sz="0" w:space="0" w:color="auto"/>
          </w:divBdr>
        </w:div>
        <w:div w:id="1246036933">
          <w:marLeft w:val="1080"/>
          <w:marRight w:val="0"/>
          <w:marTop w:val="0"/>
          <w:marBottom w:val="0"/>
          <w:divBdr>
            <w:top w:val="none" w:sz="0" w:space="0" w:color="auto"/>
            <w:left w:val="none" w:sz="0" w:space="0" w:color="auto"/>
            <w:bottom w:val="none" w:sz="0" w:space="0" w:color="auto"/>
            <w:right w:val="none" w:sz="0" w:space="0" w:color="auto"/>
          </w:divBdr>
        </w:div>
        <w:div w:id="1395009426">
          <w:marLeft w:val="1080"/>
          <w:marRight w:val="0"/>
          <w:marTop w:val="0"/>
          <w:marBottom w:val="0"/>
          <w:divBdr>
            <w:top w:val="none" w:sz="0" w:space="0" w:color="auto"/>
            <w:left w:val="none" w:sz="0" w:space="0" w:color="auto"/>
            <w:bottom w:val="none" w:sz="0" w:space="0" w:color="auto"/>
            <w:right w:val="none" w:sz="0" w:space="0" w:color="auto"/>
          </w:divBdr>
        </w:div>
        <w:div w:id="1469974189">
          <w:marLeft w:val="1080"/>
          <w:marRight w:val="0"/>
          <w:marTop w:val="0"/>
          <w:marBottom w:val="0"/>
          <w:divBdr>
            <w:top w:val="none" w:sz="0" w:space="0" w:color="auto"/>
            <w:left w:val="none" w:sz="0" w:space="0" w:color="auto"/>
            <w:bottom w:val="none" w:sz="0" w:space="0" w:color="auto"/>
            <w:right w:val="none" w:sz="0" w:space="0" w:color="auto"/>
          </w:divBdr>
        </w:div>
        <w:div w:id="1472165461">
          <w:marLeft w:val="1080"/>
          <w:marRight w:val="0"/>
          <w:marTop w:val="0"/>
          <w:marBottom w:val="0"/>
          <w:divBdr>
            <w:top w:val="none" w:sz="0" w:space="0" w:color="auto"/>
            <w:left w:val="none" w:sz="0" w:space="0" w:color="auto"/>
            <w:bottom w:val="none" w:sz="0" w:space="0" w:color="auto"/>
            <w:right w:val="none" w:sz="0" w:space="0" w:color="auto"/>
          </w:divBdr>
        </w:div>
        <w:div w:id="1499006284">
          <w:marLeft w:val="1699"/>
          <w:marRight w:val="0"/>
          <w:marTop w:val="0"/>
          <w:marBottom w:val="0"/>
          <w:divBdr>
            <w:top w:val="none" w:sz="0" w:space="0" w:color="auto"/>
            <w:left w:val="none" w:sz="0" w:space="0" w:color="auto"/>
            <w:bottom w:val="none" w:sz="0" w:space="0" w:color="auto"/>
            <w:right w:val="none" w:sz="0" w:space="0" w:color="auto"/>
          </w:divBdr>
        </w:div>
        <w:div w:id="1501847944">
          <w:marLeft w:val="360"/>
          <w:marRight w:val="0"/>
          <w:marTop w:val="0"/>
          <w:marBottom w:val="0"/>
          <w:divBdr>
            <w:top w:val="none" w:sz="0" w:space="0" w:color="auto"/>
            <w:left w:val="none" w:sz="0" w:space="0" w:color="auto"/>
            <w:bottom w:val="none" w:sz="0" w:space="0" w:color="auto"/>
            <w:right w:val="none" w:sz="0" w:space="0" w:color="auto"/>
          </w:divBdr>
        </w:div>
        <w:div w:id="1597523221">
          <w:marLeft w:val="360"/>
          <w:marRight w:val="0"/>
          <w:marTop w:val="0"/>
          <w:marBottom w:val="0"/>
          <w:divBdr>
            <w:top w:val="none" w:sz="0" w:space="0" w:color="auto"/>
            <w:left w:val="none" w:sz="0" w:space="0" w:color="auto"/>
            <w:bottom w:val="none" w:sz="0" w:space="0" w:color="auto"/>
            <w:right w:val="none" w:sz="0" w:space="0" w:color="auto"/>
          </w:divBdr>
        </w:div>
        <w:div w:id="1609317929">
          <w:marLeft w:val="360"/>
          <w:marRight w:val="0"/>
          <w:marTop w:val="0"/>
          <w:marBottom w:val="0"/>
          <w:divBdr>
            <w:top w:val="none" w:sz="0" w:space="0" w:color="auto"/>
            <w:left w:val="none" w:sz="0" w:space="0" w:color="auto"/>
            <w:bottom w:val="none" w:sz="0" w:space="0" w:color="auto"/>
            <w:right w:val="none" w:sz="0" w:space="0" w:color="auto"/>
          </w:divBdr>
        </w:div>
        <w:div w:id="1737044481">
          <w:marLeft w:val="1080"/>
          <w:marRight w:val="0"/>
          <w:marTop w:val="0"/>
          <w:marBottom w:val="0"/>
          <w:divBdr>
            <w:top w:val="none" w:sz="0" w:space="0" w:color="auto"/>
            <w:left w:val="none" w:sz="0" w:space="0" w:color="auto"/>
            <w:bottom w:val="none" w:sz="0" w:space="0" w:color="auto"/>
            <w:right w:val="none" w:sz="0" w:space="0" w:color="auto"/>
          </w:divBdr>
        </w:div>
        <w:div w:id="1860585551">
          <w:marLeft w:val="1080"/>
          <w:marRight w:val="0"/>
          <w:marTop w:val="0"/>
          <w:marBottom w:val="0"/>
          <w:divBdr>
            <w:top w:val="none" w:sz="0" w:space="0" w:color="auto"/>
            <w:left w:val="none" w:sz="0" w:space="0" w:color="auto"/>
            <w:bottom w:val="none" w:sz="0" w:space="0" w:color="auto"/>
            <w:right w:val="none" w:sz="0" w:space="0" w:color="auto"/>
          </w:divBdr>
        </w:div>
        <w:div w:id="1903590583">
          <w:marLeft w:val="1080"/>
          <w:marRight w:val="0"/>
          <w:marTop w:val="0"/>
          <w:marBottom w:val="0"/>
          <w:divBdr>
            <w:top w:val="none" w:sz="0" w:space="0" w:color="auto"/>
            <w:left w:val="none" w:sz="0" w:space="0" w:color="auto"/>
            <w:bottom w:val="none" w:sz="0" w:space="0" w:color="auto"/>
            <w:right w:val="none" w:sz="0" w:space="0" w:color="auto"/>
          </w:divBdr>
        </w:div>
        <w:div w:id="1954166109">
          <w:marLeft w:val="1080"/>
          <w:marRight w:val="0"/>
          <w:marTop w:val="0"/>
          <w:marBottom w:val="0"/>
          <w:divBdr>
            <w:top w:val="none" w:sz="0" w:space="0" w:color="auto"/>
            <w:left w:val="none" w:sz="0" w:space="0" w:color="auto"/>
            <w:bottom w:val="none" w:sz="0" w:space="0" w:color="auto"/>
            <w:right w:val="none" w:sz="0" w:space="0" w:color="auto"/>
          </w:divBdr>
        </w:div>
        <w:div w:id="1959219202">
          <w:marLeft w:val="360"/>
          <w:marRight w:val="0"/>
          <w:marTop w:val="0"/>
          <w:marBottom w:val="0"/>
          <w:divBdr>
            <w:top w:val="none" w:sz="0" w:space="0" w:color="auto"/>
            <w:left w:val="none" w:sz="0" w:space="0" w:color="auto"/>
            <w:bottom w:val="none" w:sz="0" w:space="0" w:color="auto"/>
            <w:right w:val="none" w:sz="0" w:space="0" w:color="auto"/>
          </w:divBdr>
        </w:div>
        <w:div w:id="2015917921">
          <w:marLeft w:val="360"/>
          <w:marRight w:val="0"/>
          <w:marTop w:val="0"/>
          <w:marBottom w:val="0"/>
          <w:divBdr>
            <w:top w:val="none" w:sz="0" w:space="0" w:color="auto"/>
            <w:left w:val="none" w:sz="0" w:space="0" w:color="auto"/>
            <w:bottom w:val="none" w:sz="0" w:space="0" w:color="auto"/>
            <w:right w:val="none" w:sz="0" w:space="0" w:color="auto"/>
          </w:divBdr>
        </w:div>
        <w:div w:id="2016685804">
          <w:marLeft w:val="1080"/>
          <w:marRight w:val="0"/>
          <w:marTop w:val="0"/>
          <w:marBottom w:val="0"/>
          <w:divBdr>
            <w:top w:val="none" w:sz="0" w:space="0" w:color="auto"/>
            <w:left w:val="none" w:sz="0" w:space="0" w:color="auto"/>
            <w:bottom w:val="none" w:sz="0" w:space="0" w:color="auto"/>
            <w:right w:val="none" w:sz="0" w:space="0" w:color="auto"/>
          </w:divBdr>
        </w:div>
        <w:div w:id="2055230943">
          <w:marLeft w:val="360"/>
          <w:marRight w:val="0"/>
          <w:marTop w:val="0"/>
          <w:marBottom w:val="0"/>
          <w:divBdr>
            <w:top w:val="none" w:sz="0" w:space="0" w:color="auto"/>
            <w:left w:val="none" w:sz="0" w:space="0" w:color="auto"/>
            <w:bottom w:val="none" w:sz="0" w:space="0" w:color="auto"/>
            <w:right w:val="none" w:sz="0" w:space="0" w:color="auto"/>
          </w:divBdr>
        </w:div>
        <w:div w:id="2056077574">
          <w:marLeft w:val="1080"/>
          <w:marRight w:val="0"/>
          <w:marTop w:val="0"/>
          <w:marBottom w:val="0"/>
          <w:divBdr>
            <w:top w:val="none" w:sz="0" w:space="0" w:color="auto"/>
            <w:left w:val="none" w:sz="0" w:space="0" w:color="auto"/>
            <w:bottom w:val="none" w:sz="0" w:space="0" w:color="auto"/>
            <w:right w:val="none" w:sz="0" w:space="0" w:color="auto"/>
          </w:divBdr>
        </w:div>
        <w:div w:id="2057777569">
          <w:marLeft w:val="360"/>
          <w:marRight w:val="0"/>
          <w:marTop w:val="0"/>
          <w:marBottom w:val="0"/>
          <w:divBdr>
            <w:top w:val="none" w:sz="0" w:space="0" w:color="auto"/>
            <w:left w:val="none" w:sz="0" w:space="0" w:color="auto"/>
            <w:bottom w:val="none" w:sz="0" w:space="0" w:color="auto"/>
            <w:right w:val="none" w:sz="0" w:space="0" w:color="auto"/>
          </w:divBdr>
        </w:div>
      </w:divsChild>
    </w:div>
    <w:div w:id="948665881">
      <w:bodyDiv w:val="1"/>
      <w:marLeft w:val="0"/>
      <w:marRight w:val="0"/>
      <w:marTop w:val="0"/>
      <w:marBottom w:val="0"/>
      <w:divBdr>
        <w:top w:val="none" w:sz="0" w:space="0" w:color="auto"/>
        <w:left w:val="none" w:sz="0" w:space="0" w:color="auto"/>
        <w:bottom w:val="none" w:sz="0" w:space="0" w:color="auto"/>
        <w:right w:val="none" w:sz="0" w:space="0" w:color="auto"/>
      </w:divBdr>
    </w:div>
    <w:div w:id="948857453">
      <w:bodyDiv w:val="1"/>
      <w:marLeft w:val="0"/>
      <w:marRight w:val="0"/>
      <w:marTop w:val="0"/>
      <w:marBottom w:val="0"/>
      <w:divBdr>
        <w:top w:val="none" w:sz="0" w:space="0" w:color="auto"/>
        <w:left w:val="none" w:sz="0" w:space="0" w:color="auto"/>
        <w:bottom w:val="none" w:sz="0" w:space="0" w:color="auto"/>
        <w:right w:val="none" w:sz="0" w:space="0" w:color="auto"/>
      </w:divBdr>
    </w:div>
    <w:div w:id="960065497">
      <w:bodyDiv w:val="1"/>
      <w:marLeft w:val="0"/>
      <w:marRight w:val="0"/>
      <w:marTop w:val="0"/>
      <w:marBottom w:val="0"/>
      <w:divBdr>
        <w:top w:val="none" w:sz="0" w:space="0" w:color="auto"/>
        <w:left w:val="none" w:sz="0" w:space="0" w:color="auto"/>
        <w:bottom w:val="none" w:sz="0" w:space="0" w:color="auto"/>
        <w:right w:val="none" w:sz="0" w:space="0" w:color="auto"/>
      </w:divBdr>
    </w:div>
    <w:div w:id="966273245">
      <w:bodyDiv w:val="1"/>
      <w:marLeft w:val="0"/>
      <w:marRight w:val="0"/>
      <w:marTop w:val="0"/>
      <w:marBottom w:val="0"/>
      <w:divBdr>
        <w:top w:val="none" w:sz="0" w:space="0" w:color="auto"/>
        <w:left w:val="none" w:sz="0" w:space="0" w:color="auto"/>
        <w:bottom w:val="none" w:sz="0" w:space="0" w:color="auto"/>
        <w:right w:val="none" w:sz="0" w:space="0" w:color="auto"/>
      </w:divBdr>
    </w:div>
    <w:div w:id="975570296">
      <w:bodyDiv w:val="1"/>
      <w:marLeft w:val="0"/>
      <w:marRight w:val="0"/>
      <w:marTop w:val="0"/>
      <w:marBottom w:val="0"/>
      <w:divBdr>
        <w:top w:val="none" w:sz="0" w:space="0" w:color="auto"/>
        <w:left w:val="none" w:sz="0" w:space="0" w:color="auto"/>
        <w:bottom w:val="none" w:sz="0" w:space="0" w:color="auto"/>
        <w:right w:val="none" w:sz="0" w:space="0" w:color="auto"/>
      </w:divBdr>
    </w:div>
    <w:div w:id="984240808">
      <w:bodyDiv w:val="1"/>
      <w:marLeft w:val="0"/>
      <w:marRight w:val="0"/>
      <w:marTop w:val="0"/>
      <w:marBottom w:val="0"/>
      <w:divBdr>
        <w:top w:val="none" w:sz="0" w:space="0" w:color="auto"/>
        <w:left w:val="none" w:sz="0" w:space="0" w:color="auto"/>
        <w:bottom w:val="none" w:sz="0" w:space="0" w:color="auto"/>
        <w:right w:val="none" w:sz="0" w:space="0" w:color="auto"/>
      </w:divBdr>
    </w:div>
    <w:div w:id="985203374">
      <w:bodyDiv w:val="1"/>
      <w:marLeft w:val="0"/>
      <w:marRight w:val="0"/>
      <w:marTop w:val="0"/>
      <w:marBottom w:val="0"/>
      <w:divBdr>
        <w:top w:val="none" w:sz="0" w:space="0" w:color="auto"/>
        <w:left w:val="none" w:sz="0" w:space="0" w:color="auto"/>
        <w:bottom w:val="none" w:sz="0" w:space="0" w:color="auto"/>
        <w:right w:val="none" w:sz="0" w:space="0" w:color="auto"/>
      </w:divBdr>
    </w:div>
    <w:div w:id="989019772">
      <w:bodyDiv w:val="1"/>
      <w:marLeft w:val="0"/>
      <w:marRight w:val="0"/>
      <w:marTop w:val="0"/>
      <w:marBottom w:val="0"/>
      <w:divBdr>
        <w:top w:val="none" w:sz="0" w:space="0" w:color="auto"/>
        <w:left w:val="none" w:sz="0" w:space="0" w:color="auto"/>
        <w:bottom w:val="none" w:sz="0" w:space="0" w:color="auto"/>
        <w:right w:val="none" w:sz="0" w:space="0" w:color="auto"/>
      </w:divBdr>
    </w:div>
    <w:div w:id="1003820184">
      <w:bodyDiv w:val="1"/>
      <w:marLeft w:val="0"/>
      <w:marRight w:val="0"/>
      <w:marTop w:val="0"/>
      <w:marBottom w:val="0"/>
      <w:divBdr>
        <w:top w:val="none" w:sz="0" w:space="0" w:color="auto"/>
        <w:left w:val="none" w:sz="0" w:space="0" w:color="auto"/>
        <w:bottom w:val="none" w:sz="0" w:space="0" w:color="auto"/>
        <w:right w:val="none" w:sz="0" w:space="0" w:color="auto"/>
      </w:divBdr>
    </w:div>
    <w:div w:id="1012802009">
      <w:bodyDiv w:val="1"/>
      <w:marLeft w:val="0"/>
      <w:marRight w:val="0"/>
      <w:marTop w:val="0"/>
      <w:marBottom w:val="0"/>
      <w:divBdr>
        <w:top w:val="none" w:sz="0" w:space="0" w:color="auto"/>
        <w:left w:val="none" w:sz="0" w:space="0" w:color="auto"/>
        <w:bottom w:val="none" w:sz="0" w:space="0" w:color="auto"/>
        <w:right w:val="none" w:sz="0" w:space="0" w:color="auto"/>
      </w:divBdr>
    </w:div>
    <w:div w:id="1016881791">
      <w:bodyDiv w:val="1"/>
      <w:marLeft w:val="0"/>
      <w:marRight w:val="0"/>
      <w:marTop w:val="0"/>
      <w:marBottom w:val="0"/>
      <w:divBdr>
        <w:top w:val="none" w:sz="0" w:space="0" w:color="auto"/>
        <w:left w:val="none" w:sz="0" w:space="0" w:color="auto"/>
        <w:bottom w:val="none" w:sz="0" w:space="0" w:color="auto"/>
        <w:right w:val="none" w:sz="0" w:space="0" w:color="auto"/>
      </w:divBdr>
    </w:div>
    <w:div w:id="1025398977">
      <w:bodyDiv w:val="1"/>
      <w:marLeft w:val="0"/>
      <w:marRight w:val="0"/>
      <w:marTop w:val="0"/>
      <w:marBottom w:val="0"/>
      <w:divBdr>
        <w:top w:val="none" w:sz="0" w:space="0" w:color="auto"/>
        <w:left w:val="none" w:sz="0" w:space="0" w:color="auto"/>
        <w:bottom w:val="none" w:sz="0" w:space="0" w:color="auto"/>
        <w:right w:val="none" w:sz="0" w:space="0" w:color="auto"/>
      </w:divBdr>
    </w:div>
    <w:div w:id="1028869909">
      <w:bodyDiv w:val="1"/>
      <w:marLeft w:val="0"/>
      <w:marRight w:val="0"/>
      <w:marTop w:val="0"/>
      <w:marBottom w:val="0"/>
      <w:divBdr>
        <w:top w:val="none" w:sz="0" w:space="0" w:color="auto"/>
        <w:left w:val="none" w:sz="0" w:space="0" w:color="auto"/>
        <w:bottom w:val="none" w:sz="0" w:space="0" w:color="auto"/>
        <w:right w:val="none" w:sz="0" w:space="0" w:color="auto"/>
      </w:divBdr>
    </w:div>
    <w:div w:id="1042678891">
      <w:bodyDiv w:val="1"/>
      <w:marLeft w:val="0"/>
      <w:marRight w:val="0"/>
      <w:marTop w:val="0"/>
      <w:marBottom w:val="0"/>
      <w:divBdr>
        <w:top w:val="none" w:sz="0" w:space="0" w:color="auto"/>
        <w:left w:val="none" w:sz="0" w:space="0" w:color="auto"/>
        <w:bottom w:val="none" w:sz="0" w:space="0" w:color="auto"/>
        <w:right w:val="none" w:sz="0" w:space="0" w:color="auto"/>
      </w:divBdr>
    </w:div>
    <w:div w:id="1046875552">
      <w:bodyDiv w:val="1"/>
      <w:marLeft w:val="0"/>
      <w:marRight w:val="0"/>
      <w:marTop w:val="0"/>
      <w:marBottom w:val="0"/>
      <w:divBdr>
        <w:top w:val="none" w:sz="0" w:space="0" w:color="auto"/>
        <w:left w:val="none" w:sz="0" w:space="0" w:color="auto"/>
        <w:bottom w:val="none" w:sz="0" w:space="0" w:color="auto"/>
        <w:right w:val="none" w:sz="0" w:space="0" w:color="auto"/>
      </w:divBdr>
    </w:div>
    <w:div w:id="1081635360">
      <w:bodyDiv w:val="1"/>
      <w:marLeft w:val="0"/>
      <w:marRight w:val="0"/>
      <w:marTop w:val="0"/>
      <w:marBottom w:val="0"/>
      <w:divBdr>
        <w:top w:val="none" w:sz="0" w:space="0" w:color="auto"/>
        <w:left w:val="none" w:sz="0" w:space="0" w:color="auto"/>
        <w:bottom w:val="none" w:sz="0" w:space="0" w:color="auto"/>
        <w:right w:val="none" w:sz="0" w:space="0" w:color="auto"/>
      </w:divBdr>
    </w:div>
    <w:div w:id="1081831695">
      <w:bodyDiv w:val="1"/>
      <w:marLeft w:val="0"/>
      <w:marRight w:val="0"/>
      <w:marTop w:val="0"/>
      <w:marBottom w:val="0"/>
      <w:divBdr>
        <w:top w:val="none" w:sz="0" w:space="0" w:color="auto"/>
        <w:left w:val="none" w:sz="0" w:space="0" w:color="auto"/>
        <w:bottom w:val="none" w:sz="0" w:space="0" w:color="auto"/>
        <w:right w:val="none" w:sz="0" w:space="0" w:color="auto"/>
      </w:divBdr>
    </w:div>
    <w:div w:id="1093940728">
      <w:bodyDiv w:val="1"/>
      <w:marLeft w:val="0"/>
      <w:marRight w:val="0"/>
      <w:marTop w:val="0"/>
      <w:marBottom w:val="0"/>
      <w:divBdr>
        <w:top w:val="none" w:sz="0" w:space="0" w:color="auto"/>
        <w:left w:val="none" w:sz="0" w:space="0" w:color="auto"/>
        <w:bottom w:val="none" w:sz="0" w:space="0" w:color="auto"/>
        <w:right w:val="none" w:sz="0" w:space="0" w:color="auto"/>
      </w:divBdr>
    </w:div>
    <w:div w:id="1103913282">
      <w:bodyDiv w:val="1"/>
      <w:marLeft w:val="0"/>
      <w:marRight w:val="0"/>
      <w:marTop w:val="0"/>
      <w:marBottom w:val="0"/>
      <w:divBdr>
        <w:top w:val="none" w:sz="0" w:space="0" w:color="auto"/>
        <w:left w:val="none" w:sz="0" w:space="0" w:color="auto"/>
        <w:bottom w:val="none" w:sz="0" w:space="0" w:color="auto"/>
        <w:right w:val="none" w:sz="0" w:space="0" w:color="auto"/>
      </w:divBdr>
    </w:div>
    <w:div w:id="1115176473">
      <w:bodyDiv w:val="1"/>
      <w:marLeft w:val="0"/>
      <w:marRight w:val="0"/>
      <w:marTop w:val="0"/>
      <w:marBottom w:val="0"/>
      <w:divBdr>
        <w:top w:val="none" w:sz="0" w:space="0" w:color="auto"/>
        <w:left w:val="none" w:sz="0" w:space="0" w:color="auto"/>
        <w:bottom w:val="none" w:sz="0" w:space="0" w:color="auto"/>
        <w:right w:val="none" w:sz="0" w:space="0" w:color="auto"/>
      </w:divBdr>
    </w:div>
    <w:div w:id="1117287955">
      <w:bodyDiv w:val="1"/>
      <w:marLeft w:val="0"/>
      <w:marRight w:val="0"/>
      <w:marTop w:val="0"/>
      <w:marBottom w:val="0"/>
      <w:divBdr>
        <w:top w:val="none" w:sz="0" w:space="0" w:color="auto"/>
        <w:left w:val="none" w:sz="0" w:space="0" w:color="auto"/>
        <w:bottom w:val="none" w:sz="0" w:space="0" w:color="auto"/>
        <w:right w:val="none" w:sz="0" w:space="0" w:color="auto"/>
      </w:divBdr>
    </w:div>
    <w:div w:id="1125853307">
      <w:bodyDiv w:val="1"/>
      <w:marLeft w:val="0"/>
      <w:marRight w:val="0"/>
      <w:marTop w:val="0"/>
      <w:marBottom w:val="0"/>
      <w:divBdr>
        <w:top w:val="none" w:sz="0" w:space="0" w:color="auto"/>
        <w:left w:val="none" w:sz="0" w:space="0" w:color="auto"/>
        <w:bottom w:val="none" w:sz="0" w:space="0" w:color="auto"/>
        <w:right w:val="none" w:sz="0" w:space="0" w:color="auto"/>
      </w:divBdr>
    </w:div>
    <w:div w:id="1144541639">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50364014">
      <w:bodyDiv w:val="1"/>
      <w:marLeft w:val="0"/>
      <w:marRight w:val="0"/>
      <w:marTop w:val="0"/>
      <w:marBottom w:val="0"/>
      <w:divBdr>
        <w:top w:val="none" w:sz="0" w:space="0" w:color="auto"/>
        <w:left w:val="none" w:sz="0" w:space="0" w:color="auto"/>
        <w:bottom w:val="none" w:sz="0" w:space="0" w:color="auto"/>
        <w:right w:val="none" w:sz="0" w:space="0" w:color="auto"/>
      </w:divBdr>
    </w:div>
    <w:div w:id="1157260866">
      <w:bodyDiv w:val="1"/>
      <w:marLeft w:val="0"/>
      <w:marRight w:val="0"/>
      <w:marTop w:val="0"/>
      <w:marBottom w:val="0"/>
      <w:divBdr>
        <w:top w:val="none" w:sz="0" w:space="0" w:color="auto"/>
        <w:left w:val="none" w:sz="0" w:space="0" w:color="auto"/>
        <w:bottom w:val="none" w:sz="0" w:space="0" w:color="auto"/>
        <w:right w:val="none" w:sz="0" w:space="0" w:color="auto"/>
      </w:divBdr>
    </w:div>
    <w:div w:id="1160005734">
      <w:bodyDiv w:val="1"/>
      <w:marLeft w:val="0"/>
      <w:marRight w:val="0"/>
      <w:marTop w:val="0"/>
      <w:marBottom w:val="0"/>
      <w:divBdr>
        <w:top w:val="none" w:sz="0" w:space="0" w:color="auto"/>
        <w:left w:val="none" w:sz="0" w:space="0" w:color="auto"/>
        <w:bottom w:val="none" w:sz="0" w:space="0" w:color="auto"/>
        <w:right w:val="none" w:sz="0" w:space="0" w:color="auto"/>
      </w:divBdr>
    </w:div>
    <w:div w:id="1167986121">
      <w:bodyDiv w:val="1"/>
      <w:marLeft w:val="0"/>
      <w:marRight w:val="0"/>
      <w:marTop w:val="0"/>
      <w:marBottom w:val="0"/>
      <w:divBdr>
        <w:top w:val="none" w:sz="0" w:space="0" w:color="auto"/>
        <w:left w:val="none" w:sz="0" w:space="0" w:color="auto"/>
        <w:bottom w:val="none" w:sz="0" w:space="0" w:color="auto"/>
        <w:right w:val="none" w:sz="0" w:space="0" w:color="auto"/>
      </w:divBdr>
    </w:div>
    <w:div w:id="1168402949">
      <w:bodyDiv w:val="1"/>
      <w:marLeft w:val="0"/>
      <w:marRight w:val="0"/>
      <w:marTop w:val="0"/>
      <w:marBottom w:val="0"/>
      <w:divBdr>
        <w:top w:val="none" w:sz="0" w:space="0" w:color="auto"/>
        <w:left w:val="none" w:sz="0" w:space="0" w:color="auto"/>
        <w:bottom w:val="none" w:sz="0" w:space="0" w:color="auto"/>
        <w:right w:val="none" w:sz="0" w:space="0" w:color="auto"/>
      </w:divBdr>
    </w:div>
    <w:div w:id="1178350197">
      <w:bodyDiv w:val="1"/>
      <w:marLeft w:val="0"/>
      <w:marRight w:val="0"/>
      <w:marTop w:val="0"/>
      <w:marBottom w:val="0"/>
      <w:divBdr>
        <w:top w:val="none" w:sz="0" w:space="0" w:color="auto"/>
        <w:left w:val="none" w:sz="0" w:space="0" w:color="auto"/>
        <w:bottom w:val="none" w:sz="0" w:space="0" w:color="auto"/>
        <w:right w:val="none" w:sz="0" w:space="0" w:color="auto"/>
      </w:divBdr>
    </w:div>
    <w:div w:id="1188758521">
      <w:bodyDiv w:val="1"/>
      <w:marLeft w:val="0"/>
      <w:marRight w:val="0"/>
      <w:marTop w:val="0"/>
      <w:marBottom w:val="0"/>
      <w:divBdr>
        <w:top w:val="none" w:sz="0" w:space="0" w:color="auto"/>
        <w:left w:val="none" w:sz="0" w:space="0" w:color="auto"/>
        <w:bottom w:val="none" w:sz="0" w:space="0" w:color="auto"/>
        <w:right w:val="none" w:sz="0" w:space="0" w:color="auto"/>
      </w:divBdr>
    </w:div>
    <w:div w:id="1196038512">
      <w:bodyDiv w:val="1"/>
      <w:marLeft w:val="0"/>
      <w:marRight w:val="0"/>
      <w:marTop w:val="0"/>
      <w:marBottom w:val="0"/>
      <w:divBdr>
        <w:top w:val="none" w:sz="0" w:space="0" w:color="auto"/>
        <w:left w:val="none" w:sz="0" w:space="0" w:color="auto"/>
        <w:bottom w:val="none" w:sz="0" w:space="0" w:color="auto"/>
        <w:right w:val="none" w:sz="0" w:space="0" w:color="auto"/>
      </w:divBdr>
    </w:div>
    <w:div w:id="1198279881">
      <w:bodyDiv w:val="1"/>
      <w:marLeft w:val="0"/>
      <w:marRight w:val="0"/>
      <w:marTop w:val="0"/>
      <w:marBottom w:val="0"/>
      <w:divBdr>
        <w:top w:val="none" w:sz="0" w:space="0" w:color="auto"/>
        <w:left w:val="none" w:sz="0" w:space="0" w:color="auto"/>
        <w:bottom w:val="none" w:sz="0" w:space="0" w:color="auto"/>
        <w:right w:val="none" w:sz="0" w:space="0" w:color="auto"/>
      </w:divBdr>
    </w:div>
    <w:div w:id="1201894771">
      <w:bodyDiv w:val="1"/>
      <w:marLeft w:val="0"/>
      <w:marRight w:val="0"/>
      <w:marTop w:val="0"/>
      <w:marBottom w:val="0"/>
      <w:divBdr>
        <w:top w:val="none" w:sz="0" w:space="0" w:color="auto"/>
        <w:left w:val="none" w:sz="0" w:space="0" w:color="auto"/>
        <w:bottom w:val="none" w:sz="0" w:space="0" w:color="auto"/>
        <w:right w:val="none" w:sz="0" w:space="0" w:color="auto"/>
      </w:divBdr>
    </w:div>
    <w:div w:id="1228688082">
      <w:bodyDiv w:val="1"/>
      <w:marLeft w:val="0"/>
      <w:marRight w:val="0"/>
      <w:marTop w:val="0"/>
      <w:marBottom w:val="0"/>
      <w:divBdr>
        <w:top w:val="none" w:sz="0" w:space="0" w:color="auto"/>
        <w:left w:val="none" w:sz="0" w:space="0" w:color="auto"/>
        <w:bottom w:val="none" w:sz="0" w:space="0" w:color="auto"/>
        <w:right w:val="none" w:sz="0" w:space="0" w:color="auto"/>
      </w:divBdr>
    </w:div>
    <w:div w:id="1229879686">
      <w:bodyDiv w:val="1"/>
      <w:marLeft w:val="0"/>
      <w:marRight w:val="0"/>
      <w:marTop w:val="0"/>
      <w:marBottom w:val="0"/>
      <w:divBdr>
        <w:top w:val="none" w:sz="0" w:space="0" w:color="auto"/>
        <w:left w:val="none" w:sz="0" w:space="0" w:color="auto"/>
        <w:bottom w:val="none" w:sz="0" w:space="0" w:color="auto"/>
        <w:right w:val="none" w:sz="0" w:space="0" w:color="auto"/>
      </w:divBdr>
    </w:div>
    <w:div w:id="1237277519">
      <w:bodyDiv w:val="1"/>
      <w:marLeft w:val="0"/>
      <w:marRight w:val="0"/>
      <w:marTop w:val="0"/>
      <w:marBottom w:val="0"/>
      <w:divBdr>
        <w:top w:val="none" w:sz="0" w:space="0" w:color="auto"/>
        <w:left w:val="none" w:sz="0" w:space="0" w:color="auto"/>
        <w:bottom w:val="none" w:sz="0" w:space="0" w:color="auto"/>
        <w:right w:val="none" w:sz="0" w:space="0" w:color="auto"/>
      </w:divBdr>
    </w:div>
    <w:div w:id="1249120028">
      <w:bodyDiv w:val="1"/>
      <w:marLeft w:val="0"/>
      <w:marRight w:val="0"/>
      <w:marTop w:val="0"/>
      <w:marBottom w:val="0"/>
      <w:divBdr>
        <w:top w:val="none" w:sz="0" w:space="0" w:color="auto"/>
        <w:left w:val="none" w:sz="0" w:space="0" w:color="auto"/>
        <w:bottom w:val="none" w:sz="0" w:space="0" w:color="auto"/>
        <w:right w:val="none" w:sz="0" w:space="0" w:color="auto"/>
      </w:divBdr>
    </w:div>
    <w:div w:id="1249847726">
      <w:bodyDiv w:val="1"/>
      <w:marLeft w:val="0"/>
      <w:marRight w:val="0"/>
      <w:marTop w:val="0"/>
      <w:marBottom w:val="0"/>
      <w:divBdr>
        <w:top w:val="none" w:sz="0" w:space="0" w:color="auto"/>
        <w:left w:val="none" w:sz="0" w:space="0" w:color="auto"/>
        <w:bottom w:val="none" w:sz="0" w:space="0" w:color="auto"/>
        <w:right w:val="none" w:sz="0" w:space="0" w:color="auto"/>
      </w:divBdr>
    </w:div>
    <w:div w:id="1252930645">
      <w:bodyDiv w:val="1"/>
      <w:marLeft w:val="0"/>
      <w:marRight w:val="0"/>
      <w:marTop w:val="0"/>
      <w:marBottom w:val="0"/>
      <w:divBdr>
        <w:top w:val="none" w:sz="0" w:space="0" w:color="auto"/>
        <w:left w:val="none" w:sz="0" w:space="0" w:color="auto"/>
        <w:bottom w:val="none" w:sz="0" w:space="0" w:color="auto"/>
        <w:right w:val="none" w:sz="0" w:space="0" w:color="auto"/>
      </w:divBdr>
    </w:div>
    <w:div w:id="1255239296">
      <w:bodyDiv w:val="1"/>
      <w:marLeft w:val="0"/>
      <w:marRight w:val="0"/>
      <w:marTop w:val="0"/>
      <w:marBottom w:val="0"/>
      <w:divBdr>
        <w:top w:val="none" w:sz="0" w:space="0" w:color="auto"/>
        <w:left w:val="none" w:sz="0" w:space="0" w:color="auto"/>
        <w:bottom w:val="none" w:sz="0" w:space="0" w:color="auto"/>
        <w:right w:val="none" w:sz="0" w:space="0" w:color="auto"/>
      </w:divBdr>
    </w:div>
    <w:div w:id="1270165492">
      <w:bodyDiv w:val="1"/>
      <w:marLeft w:val="0"/>
      <w:marRight w:val="0"/>
      <w:marTop w:val="0"/>
      <w:marBottom w:val="0"/>
      <w:divBdr>
        <w:top w:val="none" w:sz="0" w:space="0" w:color="auto"/>
        <w:left w:val="none" w:sz="0" w:space="0" w:color="auto"/>
        <w:bottom w:val="none" w:sz="0" w:space="0" w:color="auto"/>
        <w:right w:val="none" w:sz="0" w:space="0" w:color="auto"/>
      </w:divBdr>
    </w:div>
    <w:div w:id="1273704345">
      <w:bodyDiv w:val="1"/>
      <w:marLeft w:val="0"/>
      <w:marRight w:val="0"/>
      <w:marTop w:val="0"/>
      <w:marBottom w:val="0"/>
      <w:divBdr>
        <w:top w:val="none" w:sz="0" w:space="0" w:color="auto"/>
        <w:left w:val="none" w:sz="0" w:space="0" w:color="auto"/>
        <w:bottom w:val="none" w:sz="0" w:space="0" w:color="auto"/>
        <w:right w:val="none" w:sz="0" w:space="0" w:color="auto"/>
      </w:divBdr>
    </w:div>
    <w:div w:id="1273778542">
      <w:bodyDiv w:val="1"/>
      <w:marLeft w:val="0"/>
      <w:marRight w:val="0"/>
      <w:marTop w:val="0"/>
      <w:marBottom w:val="0"/>
      <w:divBdr>
        <w:top w:val="none" w:sz="0" w:space="0" w:color="auto"/>
        <w:left w:val="none" w:sz="0" w:space="0" w:color="auto"/>
        <w:bottom w:val="none" w:sz="0" w:space="0" w:color="auto"/>
        <w:right w:val="none" w:sz="0" w:space="0" w:color="auto"/>
      </w:divBdr>
    </w:div>
    <w:div w:id="1280337486">
      <w:bodyDiv w:val="1"/>
      <w:marLeft w:val="0"/>
      <w:marRight w:val="0"/>
      <w:marTop w:val="0"/>
      <w:marBottom w:val="0"/>
      <w:divBdr>
        <w:top w:val="none" w:sz="0" w:space="0" w:color="auto"/>
        <w:left w:val="none" w:sz="0" w:space="0" w:color="auto"/>
        <w:bottom w:val="none" w:sz="0" w:space="0" w:color="auto"/>
        <w:right w:val="none" w:sz="0" w:space="0" w:color="auto"/>
      </w:divBdr>
    </w:div>
    <w:div w:id="1295332314">
      <w:bodyDiv w:val="1"/>
      <w:marLeft w:val="0"/>
      <w:marRight w:val="0"/>
      <w:marTop w:val="0"/>
      <w:marBottom w:val="0"/>
      <w:divBdr>
        <w:top w:val="none" w:sz="0" w:space="0" w:color="auto"/>
        <w:left w:val="none" w:sz="0" w:space="0" w:color="auto"/>
        <w:bottom w:val="none" w:sz="0" w:space="0" w:color="auto"/>
        <w:right w:val="none" w:sz="0" w:space="0" w:color="auto"/>
      </w:divBdr>
    </w:div>
    <w:div w:id="1306007732">
      <w:bodyDiv w:val="1"/>
      <w:marLeft w:val="0"/>
      <w:marRight w:val="0"/>
      <w:marTop w:val="0"/>
      <w:marBottom w:val="0"/>
      <w:divBdr>
        <w:top w:val="none" w:sz="0" w:space="0" w:color="auto"/>
        <w:left w:val="none" w:sz="0" w:space="0" w:color="auto"/>
        <w:bottom w:val="none" w:sz="0" w:space="0" w:color="auto"/>
        <w:right w:val="none" w:sz="0" w:space="0" w:color="auto"/>
      </w:divBdr>
    </w:div>
    <w:div w:id="1311129718">
      <w:bodyDiv w:val="1"/>
      <w:marLeft w:val="0"/>
      <w:marRight w:val="0"/>
      <w:marTop w:val="0"/>
      <w:marBottom w:val="0"/>
      <w:divBdr>
        <w:top w:val="none" w:sz="0" w:space="0" w:color="auto"/>
        <w:left w:val="none" w:sz="0" w:space="0" w:color="auto"/>
        <w:bottom w:val="none" w:sz="0" w:space="0" w:color="auto"/>
        <w:right w:val="none" w:sz="0" w:space="0" w:color="auto"/>
      </w:divBdr>
    </w:div>
    <w:div w:id="1313831870">
      <w:bodyDiv w:val="1"/>
      <w:marLeft w:val="0"/>
      <w:marRight w:val="0"/>
      <w:marTop w:val="0"/>
      <w:marBottom w:val="0"/>
      <w:divBdr>
        <w:top w:val="none" w:sz="0" w:space="0" w:color="auto"/>
        <w:left w:val="none" w:sz="0" w:space="0" w:color="auto"/>
        <w:bottom w:val="none" w:sz="0" w:space="0" w:color="auto"/>
        <w:right w:val="none" w:sz="0" w:space="0" w:color="auto"/>
      </w:divBdr>
    </w:div>
    <w:div w:id="1336811308">
      <w:bodyDiv w:val="1"/>
      <w:marLeft w:val="0"/>
      <w:marRight w:val="0"/>
      <w:marTop w:val="0"/>
      <w:marBottom w:val="0"/>
      <w:divBdr>
        <w:top w:val="none" w:sz="0" w:space="0" w:color="auto"/>
        <w:left w:val="none" w:sz="0" w:space="0" w:color="auto"/>
        <w:bottom w:val="none" w:sz="0" w:space="0" w:color="auto"/>
        <w:right w:val="none" w:sz="0" w:space="0" w:color="auto"/>
      </w:divBdr>
    </w:div>
    <w:div w:id="1345086331">
      <w:bodyDiv w:val="1"/>
      <w:marLeft w:val="0"/>
      <w:marRight w:val="0"/>
      <w:marTop w:val="0"/>
      <w:marBottom w:val="0"/>
      <w:divBdr>
        <w:top w:val="none" w:sz="0" w:space="0" w:color="auto"/>
        <w:left w:val="none" w:sz="0" w:space="0" w:color="auto"/>
        <w:bottom w:val="none" w:sz="0" w:space="0" w:color="auto"/>
        <w:right w:val="none" w:sz="0" w:space="0" w:color="auto"/>
      </w:divBdr>
    </w:div>
    <w:div w:id="1354500681">
      <w:bodyDiv w:val="1"/>
      <w:marLeft w:val="0"/>
      <w:marRight w:val="0"/>
      <w:marTop w:val="0"/>
      <w:marBottom w:val="0"/>
      <w:divBdr>
        <w:top w:val="none" w:sz="0" w:space="0" w:color="auto"/>
        <w:left w:val="none" w:sz="0" w:space="0" w:color="auto"/>
        <w:bottom w:val="none" w:sz="0" w:space="0" w:color="auto"/>
        <w:right w:val="none" w:sz="0" w:space="0" w:color="auto"/>
      </w:divBdr>
    </w:div>
    <w:div w:id="1367755699">
      <w:bodyDiv w:val="1"/>
      <w:marLeft w:val="0"/>
      <w:marRight w:val="0"/>
      <w:marTop w:val="0"/>
      <w:marBottom w:val="0"/>
      <w:divBdr>
        <w:top w:val="none" w:sz="0" w:space="0" w:color="auto"/>
        <w:left w:val="none" w:sz="0" w:space="0" w:color="auto"/>
        <w:bottom w:val="none" w:sz="0" w:space="0" w:color="auto"/>
        <w:right w:val="none" w:sz="0" w:space="0" w:color="auto"/>
      </w:divBdr>
    </w:div>
    <w:div w:id="1385331013">
      <w:bodyDiv w:val="1"/>
      <w:marLeft w:val="0"/>
      <w:marRight w:val="0"/>
      <w:marTop w:val="0"/>
      <w:marBottom w:val="0"/>
      <w:divBdr>
        <w:top w:val="none" w:sz="0" w:space="0" w:color="auto"/>
        <w:left w:val="none" w:sz="0" w:space="0" w:color="auto"/>
        <w:bottom w:val="none" w:sz="0" w:space="0" w:color="auto"/>
        <w:right w:val="none" w:sz="0" w:space="0" w:color="auto"/>
      </w:divBdr>
    </w:div>
    <w:div w:id="1387296256">
      <w:bodyDiv w:val="1"/>
      <w:marLeft w:val="0"/>
      <w:marRight w:val="0"/>
      <w:marTop w:val="0"/>
      <w:marBottom w:val="0"/>
      <w:divBdr>
        <w:top w:val="none" w:sz="0" w:space="0" w:color="auto"/>
        <w:left w:val="none" w:sz="0" w:space="0" w:color="auto"/>
        <w:bottom w:val="none" w:sz="0" w:space="0" w:color="auto"/>
        <w:right w:val="none" w:sz="0" w:space="0" w:color="auto"/>
      </w:divBdr>
    </w:div>
    <w:div w:id="1416854144">
      <w:bodyDiv w:val="1"/>
      <w:marLeft w:val="0"/>
      <w:marRight w:val="0"/>
      <w:marTop w:val="0"/>
      <w:marBottom w:val="0"/>
      <w:divBdr>
        <w:top w:val="none" w:sz="0" w:space="0" w:color="auto"/>
        <w:left w:val="none" w:sz="0" w:space="0" w:color="auto"/>
        <w:bottom w:val="none" w:sz="0" w:space="0" w:color="auto"/>
        <w:right w:val="none" w:sz="0" w:space="0" w:color="auto"/>
      </w:divBdr>
    </w:div>
    <w:div w:id="1418595407">
      <w:bodyDiv w:val="1"/>
      <w:marLeft w:val="0"/>
      <w:marRight w:val="0"/>
      <w:marTop w:val="0"/>
      <w:marBottom w:val="0"/>
      <w:divBdr>
        <w:top w:val="none" w:sz="0" w:space="0" w:color="auto"/>
        <w:left w:val="none" w:sz="0" w:space="0" w:color="auto"/>
        <w:bottom w:val="none" w:sz="0" w:space="0" w:color="auto"/>
        <w:right w:val="none" w:sz="0" w:space="0" w:color="auto"/>
      </w:divBdr>
    </w:div>
    <w:div w:id="1425497762">
      <w:bodyDiv w:val="1"/>
      <w:marLeft w:val="0"/>
      <w:marRight w:val="0"/>
      <w:marTop w:val="0"/>
      <w:marBottom w:val="0"/>
      <w:divBdr>
        <w:top w:val="none" w:sz="0" w:space="0" w:color="auto"/>
        <w:left w:val="none" w:sz="0" w:space="0" w:color="auto"/>
        <w:bottom w:val="none" w:sz="0" w:space="0" w:color="auto"/>
        <w:right w:val="none" w:sz="0" w:space="0" w:color="auto"/>
      </w:divBdr>
    </w:div>
    <w:div w:id="1434785301">
      <w:bodyDiv w:val="1"/>
      <w:marLeft w:val="0"/>
      <w:marRight w:val="0"/>
      <w:marTop w:val="0"/>
      <w:marBottom w:val="0"/>
      <w:divBdr>
        <w:top w:val="none" w:sz="0" w:space="0" w:color="auto"/>
        <w:left w:val="none" w:sz="0" w:space="0" w:color="auto"/>
        <w:bottom w:val="none" w:sz="0" w:space="0" w:color="auto"/>
        <w:right w:val="none" w:sz="0" w:space="0" w:color="auto"/>
      </w:divBdr>
    </w:div>
    <w:div w:id="1445616293">
      <w:bodyDiv w:val="1"/>
      <w:marLeft w:val="0"/>
      <w:marRight w:val="0"/>
      <w:marTop w:val="0"/>
      <w:marBottom w:val="0"/>
      <w:divBdr>
        <w:top w:val="none" w:sz="0" w:space="0" w:color="auto"/>
        <w:left w:val="none" w:sz="0" w:space="0" w:color="auto"/>
        <w:bottom w:val="none" w:sz="0" w:space="0" w:color="auto"/>
        <w:right w:val="none" w:sz="0" w:space="0" w:color="auto"/>
      </w:divBdr>
    </w:div>
    <w:div w:id="1455438819">
      <w:bodyDiv w:val="1"/>
      <w:marLeft w:val="0"/>
      <w:marRight w:val="0"/>
      <w:marTop w:val="0"/>
      <w:marBottom w:val="0"/>
      <w:divBdr>
        <w:top w:val="none" w:sz="0" w:space="0" w:color="auto"/>
        <w:left w:val="none" w:sz="0" w:space="0" w:color="auto"/>
        <w:bottom w:val="none" w:sz="0" w:space="0" w:color="auto"/>
        <w:right w:val="none" w:sz="0" w:space="0" w:color="auto"/>
      </w:divBdr>
    </w:div>
    <w:div w:id="1474634780">
      <w:bodyDiv w:val="1"/>
      <w:marLeft w:val="0"/>
      <w:marRight w:val="0"/>
      <w:marTop w:val="0"/>
      <w:marBottom w:val="0"/>
      <w:divBdr>
        <w:top w:val="none" w:sz="0" w:space="0" w:color="auto"/>
        <w:left w:val="none" w:sz="0" w:space="0" w:color="auto"/>
        <w:bottom w:val="none" w:sz="0" w:space="0" w:color="auto"/>
        <w:right w:val="none" w:sz="0" w:space="0" w:color="auto"/>
      </w:divBdr>
    </w:div>
    <w:div w:id="1477722204">
      <w:bodyDiv w:val="1"/>
      <w:marLeft w:val="0"/>
      <w:marRight w:val="0"/>
      <w:marTop w:val="0"/>
      <w:marBottom w:val="0"/>
      <w:divBdr>
        <w:top w:val="none" w:sz="0" w:space="0" w:color="auto"/>
        <w:left w:val="none" w:sz="0" w:space="0" w:color="auto"/>
        <w:bottom w:val="none" w:sz="0" w:space="0" w:color="auto"/>
        <w:right w:val="none" w:sz="0" w:space="0" w:color="auto"/>
      </w:divBdr>
    </w:div>
    <w:div w:id="1489324431">
      <w:bodyDiv w:val="1"/>
      <w:marLeft w:val="0"/>
      <w:marRight w:val="0"/>
      <w:marTop w:val="0"/>
      <w:marBottom w:val="0"/>
      <w:divBdr>
        <w:top w:val="none" w:sz="0" w:space="0" w:color="auto"/>
        <w:left w:val="none" w:sz="0" w:space="0" w:color="auto"/>
        <w:bottom w:val="none" w:sz="0" w:space="0" w:color="auto"/>
        <w:right w:val="none" w:sz="0" w:space="0" w:color="auto"/>
      </w:divBdr>
    </w:div>
    <w:div w:id="1489975239">
      <w:bodyDiv w:val="1"/>
      <w:marLeft w:val="0"/>
      <w:marRight w:val="0"/>
      <w:marTop w:val="0"/>
      <w:marBottom w:val="0"/>
      <w:divBdr>
        <w:top w:val="none" w:sz="0" w:space="0" w:color="auto"/>
        <w:left w:val="none" w:sz="0" w:space="0" w:color="auto"/>
        <w:bottom w:val="none" w:sz="0" w:space="0" w:color="auto"/>
        <w:right w:val="none" w:sz="0" w:space="0" w:color="auto"/>
      </w:divBdr>
    </w:div>
    <w:div w:id="1509245996">
      <w:bodyDiv w:val="1"/>
      <w:marLeft w:val="0"/>
      <w:marRight w:val="0"/>
      <w:marTop w:val="0"/>
      <w:marBottom w:val="0"/>
      <w:divBdr>
        <w:top w:val="none" w:sz="0" w:space="0" w:color="auto"/>
        <w:left w:val="none" w:sz="0" w:space="0" w:color="auto"/>
        <w:bottom w:val="none" w:sz="0" w:space="0" w:color="auto"/>
        <w:right w:val="none" w:sz="0" w:space="0" w:color="auto"/>
      </w:divBdr>
    </w:div>
    <w:div w:id="1516728384">
      <w:bodyDiv w:val="1"/>
      <w:marLeft w:val="0"/>
      <w:marRight w:val="0"/>
      <w:marTop w:val="0"/>
      <w:marBottom w:val="0"/>
      <w:divBdr>
        <w:top w:val="none" w:sz="0" w:space="0" w:color="auto"/>
        <w:left w:val="none" w:sz="0" w:space="0" w:color="auto"/>
        <w:bottom w:val="none" w:sz="0" w:space="0" w:color="auto"/>
        <w:right w:val="none" w:sz="0" w:space="0" w:color="auto"/>
      </w:divBdr>
    </w:div>
    <w:div w:id="1531141211">
      <w:bodyDiv w:val="1"/>
      <w:marLeft w:val="0"/>
      <w:marRight w:val="0"/>
      <w:marTop w:val="0"/>
      <w:marBottom w:val="0"/>
      <w:divBdr>
        <w:top w:val="none" w:sz="0" w:space="0" w:color="auto"/>
        <w:left w:val="none" w:sz="0" w:space="0" w:color="auto"/>
        <w:bottom w:val="none" w:sz="0" w:space="0" w:color="auto"/>
        <w:right w:val="none" w:sz="0" w:space="0" w:color="auto"/>
      </w:divBdr>
    </w:div>
    <w:div w:id="1546866567">
      <w:bodyDiv w:val="1"/>
      <w:marLeft w:val="0"/>
      <w:marRight w:val="0"/>
      <w:marTop w:val="0"/>
      <w:marBottom w:val="0"/>
      <w:divBdr>
        <w:top w:val="none" w:sz="0" w:space="0" w:color="auto"/>
        <w:left w:val="none" w:sz="0" w:space="0" w:color="auto"/>
        <w:bottom w:val="none" w:sz="0" w:space="0" w:color="auto"/>
        <w:right w:val="none" w:sz="0" w:space="0" w:color="auto"/>
      </w:divBdr>
    </w:div>
    <w:div w:id="1548373491">
      <w:bodyDiv w:val="1"/>
      <w:marLeft w:val="0"/>
      <w:marRight w:val="0"/>
      <w:marTop w:val="0"/>
      <w:marBottom w:val="0"/>
      <w:divBdr>
        <w:top w:val="none" w:sz="0" w:space="0" w:color="auto"/>
        <w:left w:val="none" w:sz="0" w:space="0" w:color="auto"/>
        <w:bottom w:val="none" w:sz="0" w:space="0" w:color="auto"/>
        <w:right w:val="none" w:sz="0" w:space="0" w:color="auto"/>
      </w:divBdr>
    </w:div>
    <w:div w:id="1549150387">
      <w:bodyDiv w:val="1"/>
      <w:marLeft w:val="0"/>
      <w:marRight w:val="0"/>
      <w:marTop w:val="0"/>
      <w:marBottom w:val="0"/>
      <w:divBdr>
        <w:top w:val="none" w:sz="0" w:space="0" w:color="auto"/>
        <w:left w:val="none" w:sz="0" w:space="0" w:color="auto"/>
        <w:bottom w:val="none" w:sz="0" w:space="0" w:color="auto"/>
        <w:right w:val="none" w:sz="0" w:space="0" w:color="auto"/>
      </w:divBdr>
    </w:div>
    <w:div w:id="1554000054">
      <w:bodyDiv w:val="1"/>
      <w:marLeft w:val="0"/>
      <w:marRight w:val="0"/>
      <w:marTop w:val="0"/>
      <w:marBottom w:val="0"/>
      <w:divBdr>
        <w:top w:val="none" w:sz="0" w:space="0" w:color="auto"/>
        <w:left w:val="none" w:sz="0" w:space="0" w:color="auto"/>
        <w:bottom w:val="none" w:sz="0" w:space="0" w:color="auto"/>
        <w:right w:val="none" w:sz="0" w:space="0" w:color="auto"/>
      </w:divBdr>
    </w:div>
    <w:div w:id="1560240964">
      <w:bodyDiv w:val="1"/>
      <w:marLeft w:val="0"/>
      <w:marRight w:val="0"/>
      <w:marTop w:val="0"/>
      <w:marBottom w:val="0"/>
      <w:divBdr>
        <w:top w:val="none" w:sz="0" w:space="0" w:color="auto"/>
        <w:left w:val="none" w:sz="0" w:space="0" w:color="auto"/>
        <w:bottom w:val="none" w:sz="0" w:space="0" w:color="auto"/>
        <w:right w:val="none" w:sz="0" w:space="0" w:color="auto"/>
      </w:divBdr>
    </w:div>
    <w:div w:id="1560480462">
      <w:bodyDiv w:val="1"/>
      <w:marLeft w:val="0"/>
      <w:marRight w:val="0"/>
      <w:marTop w:val="0"/>
      <w:marBottom w:val="0"/>
      <w:divBdr>
        <w:top w:val="none" w:sz="0" w:space="0" w:color="auto"/>
        <w:left w:val="none" w:sz="0" w:space="0" w:color="auto"/>
        <w:bottom w:val="none" w:sz="0" w:space="0" w:color="auto"/>
        <w:right w:val="none" w:sz="0" w:space="0" w:color="auto"/>
      </w:divBdr>
    </w:div>
    <w:div w:id="1561281417">
      <w:bodyDiv w:val="1"/>
      <w:marLeft w:val="0"/>
      <w:marRight w:val="0"/>
      <w:marTop w:val="0"/>
      <w:marBottom w:val="0"/>
      <w:divBdr>
        <w:top w:val="none" w:sz="0" w:space="0" w:color="auto"/>
        <w:left w:val="none" w:sz="0" w:space="0" w:color="auto"/>
        <w:bottom w:val="none" w:sz="0" w:space="0" w:color="auto"/>
        <w:right w:val="none" w:sz="0" w:space="0" w:color="auto"/>
      </w:divBdr>
    </w:div>
    <w:div w:id="1577782625">
      <w:bodyDiv w:val="1"/>
      <w:marLeft w:val="0"/>
      <w:marRight w:val="0"/>
      <w:marTop w:val="0"/>
      <w:marBottom w:val="0"/>
      <w:divBdr>
        <w:top w:val="none" w:sz="0" w:space="0" w:color="auto"/>
        <w:left w:val="none" w:sz="0" w:space="0" w:color="auto"/>
        <w:bottom w:val="none" w:sz="0" w:space="0" w:color="auto"/>
        <w:right w:val="none" w:sz="0" w:space="0" w:color="auto"/>
      </w:divBdr>
    </w:div>
    <w:div w:id="1579633415">
      <w:bodyDiv w:val="1"/>
      <w:marLeft w:val="0"/>
      <w:marRight w:val="0"/>
      <w:marTop w:val="0"/>
      <w:marBottom w:val="0"/>
      <w:divBdr>
        <w:top w:val="none" w:sz="0" w:space="0" w:color="auto"/>
        <w:left w:val="none" w:sz="0" w:space="0" w:color="auto"/>
        <w:bottom w:val="none" w:sz="0" w:space="0" w:color="auto"/>
        <w:right w:val="none" w:sz="0" w:space="0" w:color="auto"/>
      </w:divBdr>
    </w:div>
    <w:div w:id="1581862599">
      <w:bodyDiv w:val="1"/>
      <w:marLeft w:val="0"/>
      <w:marRight w:val="0"/>
      <w:marTop w:val="0"/>
      <w:marBottom w:val="0"/>
      <w:divBdr>
        <w:top w:val="none" w:sz="0" w:space="0" w:color="auto"/>
        <w:left w:val="none" w:sz="0" w:space="0" w:color="auto"/>
        <w:bottom w:val="none" w:sz="0" w:space="0" w:color="auto"/>
        <w:right w:val="none" w:sz="0" w:space="0" w:color="auto"/>
      </w:divBdr>
    </w:div>
    <w:div w:id="1584413716">
      <w:bodyDiv w:val="1"/>
      <w:marLeft w:val="0"/>
      <w:marRight w:val="0"/>
      <w:marTop w:val="0"/>
      <w:marBottom w:val="0"/>
      <w:divBdr>
        <w:top w:val="none" w:sz="0" w:space="0" w:color="auto"/>
        <w:left w:val="none" w:sz="0" w:space="0" w:color="auto"/>
        <w:bottom w:val="none" w:sz="0" w:space="0" w:color="auto"/>
        <w:right w:val="none" w:sz="0" w:space="0" w:color="auto"/>
      </w:divBdr>
    </w:div>
    <w:div w:id="1591502972">
      <w:bodyDiv w:val="1"/>
      <w:marLeft w:val="0"/>
      <w:marRight w:val="0"/>
      <w:marTop w:val="0"/>
      <w:marBottom w:val="0"/>
      <w:divBdr>
        <w:top w:val="none" w:sz="0" w:space="0" w:color="auto"/>
        <w:left w:val="none" w:sz="0" w:space="0" w:color="auto"/>
        <w:bottom w:val="none" w:sz="0" w:space="0" w:color="auto"/>
        <w:right w:val="none" w:sz="0" w:space="0" w:color="auto"/>
      </w:divBdr>
    </w:div>
    <w:div w:id="1613702287">
      <w:bodyDiv w:val="1"/>
      <w:marLeft w:val="0"/>
      <w:marRight w:val="0"/>
      <w:marTop w:val="0"/>
      <w:marBottom w:val="0"/>
      <w:divBdr>
        <w:top w:val="none" w:sz="0" w:space="0" w:color="auto"/>
        <w:left w:val="none" w:sz="0" w:space="0" w:color="auto"/>
        <w:bottom w:val="none" w:sz="0" w:space="0" w:color="auto"/>
        <w:right w:val="none" w:sz="0" w:space="0" w:color="auto"/>
      </w:divBdr>
    </w:div>
    <w:div w:id="1625623804">
      <w:bodyDiv w:val="1"/>
      <w:marLeft w:val="0"/>
      <w:marRight w:val="0"/>
      <w:marTop w:val="0"/>
      <w:marBottom w:val="0"/>
      <w:divBdr>
        <w:top w:val="none" w:sz="0" w:space="0" w:color="auto"/>
        <w:left w:val="none" w:sz="0" w:space="0" w:color="auto"/>
        <w:bottom w:val="none" w:sz="0" w:space="0" w:color="auto"/>
        <w:right w:val="none" w:sz="0" w:space="0" w:color="auto"/>
      </w:divBdr>
    </w:div>
    <w:div w:id="1640189374">
      <w:bodyDiv w:val="1"/>
      <w:marLeft w:val="0"/>
      <w:marRight w:val="0"/>
      <w:marTop w:val="0"/>
      <w:marBottom w:val="0"/>
      <w:divBdr>
        <w:top w:val="none" w:sz="0" w:space="0" w:color="auto"/>
        <w:left w:val="none" w:sz="0" w:space="0" w:color="auto"/>
        <w:bottom w:val="none" w:sz="0" w:space="0" w:color="auto"/>
        <w:right w:val="none" w:sz="0" w:space="0" w:color="auto"/>
      </w:divBdr>
    </w:div>
    <w:div w:id="1647393645">
      <w:bodyDiv w:val="1"/>
      <w:marLeft w:val="0"/>
      <w:marRight w:val="0"/>
      <w:marTop w:val="0"/>
      <w:marBottom w:val="0"/>
      <w:divBdr>
        <w:top w:val="none" w:sz="0" w:space="0" w:color="auto"/>
        <w:left w:val="none" w:sz="0" w:space="0" w:color="auto"/>
        <w:bottom w:val="none" w:sz="0" w:space="0" w:color="auto"/>
        <w:right w:val="none" w:sz="0" w:space="0" w:color="auto"/>
      </w:divBdr>
    </w:div>
    <w:div w:id="1650403959">
      <w:bodyDiv w:val="1"/>
      <w:marLeft w:val="0"/>
      <w:marRight w:val="0"/>
      <w:marTop w:val="0"/>
      <w:marBottom w:val="0"/>
      <w:divBdr>
        <w:top w:val="none" w:sz="0" w:space="0" w:color="auto"/>
        <w:left w:val="none" w:sz="0" w:space="0" w:color="auto"/>
        <w:bottom w:val="none" w:sz="0" w:space="0" w:color="auto"/>
        <w:right w:val="none" w:sz="0" w:space="0" w:color="auto"/>
      </w:divBdr>
    </w:div>
    <w:div w:id="1660886683">
      <w:bodyDiv w:val="1"/>
      <w:marLeft w:val="0"/>
      <w:marRight w:val="0"/>
      <w:marTop w:val="0"/>
      <w:marBottom w:val="0"/>
      <w:divBdr>
        <w:top w:val="none" w:sz="0" w:space="0" w:color="auto"/>
        <w:left w:val="none" w:sz="0" w:space="0" w:color="auto"/>
        <w:bottom w:val="none" w:sz="0" w:space="0" w:color="auto"/>
        <w:right w:val="none" w:sz="0" w:space="0" w:color="auto"/>
      </w:divBdr>
    </w:div>
    <w:div w:id="1678773282">
      <w:bodyDiv w:val="1"/>
      <w:marLeft w:val="0"/>
      <w:marRight w:val="0"/>
      <w:marTop w:val="0"/>
      <w:marBottom w:val="0"/>
      <w:divBdr>
        <w:top w:val="none" w:sz="0" w:space="0" w:color="auto"/>
        <w:left w:val="none" w:sz="0" w:space="0" w:color="auto"/>
        <w:bottom w:val="none" w:sz="0" w:space="0" w:color="auto"/>
        <w:right w:val="none" w:sz="0" w:space="0" w:color="auto"/>
      </w:divBdr>
    </w:div>
    <w:div w:id="1699698929">
      <w:bodyDiv w:val="1"/>
      <w:marLeft w:val="0"/>
      <w:marRight w:val="0"/>
      <w:marTop w:val="0"/>
      <w:marBottom w:val="0"/>
      <w:divBdr>
        <w:top w:val="none" w:sz="0" w:space="0" w:color="auto"/>
        <w:left w:val="none" w:sz="0" w:space="0" w:color="auto"/>
        <w:bottom w:val="none" w:sz="0" w:space="0" w:color="auto"/>
        <w:right w:val="none" w:sz="0" w:space="0" w:color="auto"/>
      </w:divBdr>
    </w:div>
    <w:div w:id="1702320606">
      <w:bodyDiv w:val="1"/>
      <w:marLeft w:val="0"/>
      <w:marRight w:val="0"/>
      <w:marTop w:val="0"/>
      <w:marBottom w:val="0"/>
      <w:divBdr>
        <w:top w:val="none" w:sz="0" w:space="0" w:color="auto"/>
        <w:left w:val="none" w:sz="0" w:space="0" w:color="auto"/>
        <w:bottom w:val="none" w:sz="0" w:space="0" w:color="auto"/>
        <w:right w:val="none" w:sz="0" w:space="0" w:color="auto"/>
      </w:divBdr>
    </w:div>
    <w:div w:id="1721786788">
      <w:bodyDiv w:val="1"/>
      <w:marLeft w:val="0"/>
      <w:marRight w:val="0"/>
      <w:marTop w:val="0"/>
      <w:marBottom w:val="0"/>
      <w:divBdr>
        <w:top w:val="none" w:sz="0" w:space="0" w:color="auto"/>
        <w:left w:val="none" w:sz="0" w:space="0" w:color="auto"/>
        <w:bottom w:val="none" w:sz="0" w:space="0" w:color="auto"/>
        <w:right w:val="none" w:sz="0" w:space="0" w:color="auto"/>
      </w:divBdr>
    </w:div>
    <w:div w:id="1724479656">
      <w:bodyDiv w:val="1"/>
      <w:marLeft w:val="0"/>
      <w:marRight w:val="0"/>
      <w:marTop w:val="0"/>
      <w:marBottom w:val="0"/>
      <w:divBdr>
        <w:top w:val="none" w:sz="0" w:space="0" w:color="auto"/>
        <w:left w:val="none" w:sz="0" w:space="0" w:color="auto"/>
        <w:bottom w:val="none" w:sz="0" w:space="0" w:color="auto"/>
        <w:right w:val="none" w:sz="0" w:space="0" w:color="auto"/>
      </w:divBdr>
    </w:div>
    <w:div w:id="1725982044">
      <w:bodyDiv w:val="1"/>
      <w:marLeft w:val="0"/>
      <w:marRight w:val="0"/>
      <w:marTop w:val="0"/>
      <w:marBottom w:val="0"/>
      <w:divBdr>
        <w:top w:val="none" w:sz="0" w:space="0" w:color="auto"/>
        <w:left w:val="none" w:sz="0" w:space="0" w:color="auto"/>
        <w:bottom w:val="none" w:sz="0" w:space="0" w:color="auto"/>
        <w:right w:val="none" w:sz="0" w:space="0" w:color="auto"/>
      </w:divBdr>
    </w:div>
    <w:div w:id="1725985482">
      <w:bodyDiv w:val="1"/>
      <w:marLeft w:val="0"/>
      <w:marRight w:val="0"/>
      <w:marTop w:val="0"/>
      <w:marBottom w:val="0"/>
      <w:divBdr>
        <w:top w:val="none" w:sz="0" w:space="0" w:color="auto"/>
        <w:left w:val="none" w:sz="0" w:space="0" w:color="auto"/>
        <w:bottom w:val="none" w:sz="0" w:space="0" w:color="auto"/>
        <w:right w:val="none" w:sz="0" w:space="0" w:color="auto"/>
      </w:divBdr>
    </w:div>
    <w:div w:id="1733115519">
      <w:bodyDiv w:val="1"/>
      <w:marLeft w:val="0"/>
      <w:marRight w:val="0"/>
      <w:marTop w:val="0"/>
      <w:marBottom w:val="0"/>
      <w:divBdr>
        <w:top w:val="none" w:sz="0" w:space="0" w:color="auto"/>
        <w:left w:val="none" w:sz="0" w:space="0" w:color="auto"/>
        <w:bottom w:val="none" w:sz="0" w:space="0" w:color="auto"/>
        <w:right w:val="none" w:sz="0" w:space="0" w:color="auto"/>
      </w:divBdr>
    </w:div>
    <w:div w:id="1735470356">
      <w:bodyDiv w:val="1"/>
      <w:marLeft w:val="0"/>
      <w:marRight w:val="0"/>
      <w:marTop w:val="0"/>
      <w:marBottom w:val="0"/>
      <w:divBdr>
        <w:top w:val="none" w:sz="0" w:space="0" w:color="auto"/>
        <w:left w:val="none" w:sz="0" w:space="0" w:color="auto"/>
        <w:bottom w:val="none" w:sz="0" w:space="0" w:color="auto"/>
        <w:right w:val="none" w:sz="0" w:space="0" w:color="auto"/>
      </w:divBdr>
    </w:div>
    <w:div w:id="1746220037">
      <w:bodyDiv w:val="1"/>
      <w:marLeft w:val="0"/>
      <w:marRight w:val="0"/>
      <w:marTop w:val="0"/>
      <w:marBottom w:val="0"/>
      <w:divBdr>
        <w:top w:val="none" w:sz="0" w:space="0" w:color="auto"/>
        <w:left w:val="none" w:sz="0" w:space="0" w:color="auto"/>
        <w:bottom w:val="none" w:sz="0" w:space="0" w:color="auto"/>
        <w:right w:val="none" w:sz="0" w:space="0" w:color="auto"/>
      </w:divBdr>
    </w:div>
    <w:div w:id="1765221461">
      <w:bodyDiv w:val="1"/>
      <w:marLeft w:val="0"/>
      <w:marRight w:val="0"/>
      <w:marTop w:val="0"/>
      <w:marBottom w:val="0"/>
      <w:divBdr>
        <w:top w:val="none" w:sz="0" w:space="0" w:color="auto"/>
        <w:left w:val="none" w:sz="0" w:space="0" w:color="auto"/>
        <w:bottom w:val="none" w:sz="0" w:space="0" w:color="auto"/>
        <w:right w:val="none" w:sz="0" w:space="0" w:color="auto"/>
      </w:divBdr>
    </w:div>
    <w:div w:id="1777598761">
      <w:bodyDiv w:val="1"/>
      <w:marLeft w:val="0"/>
      <w:marRight w:val="0"/>
      <w:marTop w:val="0"/>
      <w:marBottom w:val="0"/>
      <w:divBdr>
        <w:top w:val="none" w:sz="0" w:space="0" w:color="auto"/>
        <w:left w:val="none" w:sz="0" w:space="0" w:color="auto"/>
        <w:bottom w:val="none" w:sz="0" w:space="0" w:color="auto"/>
        <w:right w:val="none" w:sz="0" w:space="0" w:color="auto"/>
      </w:divBdr>
    </w:div>
    <w:div w:id="1790314198">
      <w:bodyDiv w:val="1"/>
      <w:marLeft w:val="0"/>
      <w:marRight w:val="0"/>
      <w:marTop w:val="0"/>
      <w:marBottom w:val="0"/>
      <w:divBdr>
        <w:top w:val="none" w:sz="0" w:space="0" w:color="auto"/>
        <w:left w:val="none" w:sz="0" w:space="0" w:color="auto"/>
        <w:bottom w:val="none" w:sz="0" w:space="0" w:color="auto"/>
        <w:right w:val="none" w:sz="0" w:space="0" w:color="auto"/>
      </w:divBdr>
    </w:div>
    <w:div w:id="1805268581">
      <w:bodyDiv w:val="1"/>
      <w:marLeft w:val="0"/>
      <w:marRight w:val="0"/>
      <w:marTop w:val="0"/>
      <w:marBottom w:val="0"/>
      <w:divBdr>
        <w:top w:val="none" w:sz="0" w:space="0" w:color="auto"/>
        <w:left w:val="none" w:sz="0" w:space="0" w:color="auto"/>
        <w:bottom w:val="none" w:sz="0" w:space="0" w:color="auto"/>
        <w:right w:val="none" w:sz="0" w:space="0" w:color="auto"/>
      </w:divBdr>
    </w:div>
    <w:div w:id="1816296715">
      <w:bodyDiv w:val="1"/>
      <w:marLeft w:val="0"/>
      <w:marRight w:val="0"/>
      <w:marTop w:val="0"/>
      <w:marBottom w:val="0"/>
      <w:divBdr>
        <w:top w:val="none" w:sz="0" w:space="0" w:color="auto"/>
        <w:left w:val="none" w:sz="0" w:space="0" w:color="auto"/>
        <w:bottom w:val="none" w:sz="0" w:space="0" w:color="auto"/>
        <w:right w:val="none" w:sz="0" w:space="0" w:color="auto"/>
      </w:divBdr>
    </w:div>
    <w:div w:id="1817531154">
      <w:bodyDiv w:val="1"/>
      <w:marLeft w:val="0"/>
      <w:marRight w:val="0"/>
      <w:marTop w:val="0"/>
      <w:marBottom w:val="0"/>
      <w:divBdr>
        <w:top w:val="none" w:sz="0" w:space="0" w:color="auto"/>
        <w:left w:val="none" w:sz="0" w:space="0" w:color="auto"/>
        <w:bottom w:val="none" w:sz="0" w:space="0" w:color="auto"/>
        <w:right w:val="none" w:sz="0" w:space="0" w:color="auto"/>
      </w:divBdr>
    </w:div>
    <w:div w:id="1820223853">
      <w:bodyDiv w:val="1"/>
      <w:marLeft w:val="0"/>
      <w:marRight w:val="0"/>
      <w:marTop w:val="0"/>
      <w:marBottom w:val="0"/>
      <w:divBdr>
        <w:top w:val="none" w:sz="0" w:space="0" w:color="auto"/>
        <w:left w:val="none" w:sz="0" w:space="0" w:color="auto"/>
        <w:bottom w:val="none" w:sz="0" w:space="0" w:color="auto"/>
        <w:right w:val="none" w:sz="0" w:space="0" w:color="auto"/>
      </w:divBdr>
    </w:div>
    <w:div w:id="1820536061">
      <w:bodyDiv w:val="1"/>
      <w:marLeft w:val="0"/>
      <w:marRight w:val="0"/>
      <w:marTop w:val="0"/>
      <w:marBottom w:val="0"/>
      <w:divBdr>
        <w:top w:val="none" w:sz="0" w:space="0" w:color="auto"/>
        <w:left w:val="none" w:sz="0" w:space="0" w:color="auto"/>
        <w:bottom w:val="none" w:sz="0" w:space="0" w:color="auto"/>
        <w:right w:val="none" w:sz="0" w:space="0" w:color="auto"/>
      </w:divBdr>
    </w:div>
    <w:div w:id="1823354484">
      <w:bodyDiv w:val="1"/>
      <w:marLeft w:val="0"/>
      <w:marRight w:val="0"/>
      <w:marTop w:val="0"/>
      <w:marBottom w:val="0"/>
      <w:divBdr>
        <w:top w:val="none" w:sz="0" w:space="0" w:color="auto"/>
        <w:left w:val="none" w:sz="0" w:space="0" w:color="auto"/>
        <w:bottom w:val="none" w:sz="0" w:space="0" w:color="auto"/>
        <w:right w:val="none" w:sz="0" w:space="0" w:color="auto"/>
      </w:divBdr>
    </w:div>
    <w:div w:id="1832215868">
      <w:bodyDiv w:val="1"/>
      <w:marLeft w:val="0"/>
      <w:marRight w:val="0"/>
      <w:marTop w:val="0"/>
      <w:marBottom w:val="0"/>
      <w:divBdr>
        <w:top w:val="none" w:sz="0" w:space="0" w:color="auto"/>
        <w:left w:val="none" w:sz="0" w:space="0" w:color="auto"/>
        <w:bottom w:val="none" w:sz="0" w:space="0" w:color="auto"/>
        <w:right w:val="none" w:sz="0" w:space="0" w:color="auto"/>
      </w:divBdr>
    </w:div>
    <w:div w:id="1837958137">
      <w:bodyDiv w:val="1"/>
      <w:marLeft w:val="0"/>
      <w:marRight w:val="0"/>
      <w:marTop w:val="0"/>
      <w:marBottom w:val="0"/>
      <w:divBdr>
        <w:top w:val="none" w:sz="0" w:space="0" w:color="auto"/>
        <w:left w:val="none" w:sz="0" w:space="0" w:color="auto"/>
        <w:bottom w:val="none" w:sz="0" w:space="0" w:color="auto"/>
        <w:right w:val="none" w:sz="0" w:space="0" w:color="auto"/>
      </w:divBdr>
    </w:div>
    <w:div w:id="1843086221">
      <w:bodyDiv w:val="1"/>
      <w:marLeft w:val="0"/>
      <w:marRight w:val="0"/>
      <w:marTop w:val="0"/>
      <w:marBottom w:val="0"/>
      <w:divBdr>
        <w:top w:val="none" w:sz="0" w:space="0" w:color="auto"/>
        <w:left w:val="none" w:sz="0" w:space="0" w:color="auto"/>
        <w:bottom w:val="none" w:sz="0" w:space="0" w:color="auto"/>
        <w:right w:val="none" w:sz="0" w:space="0" w:color="auto"/>
      </w:divBdr>
    </w:div>
    <w:div w:id="1843541403">
      <w:bodyDiv w:val="1"/>
      <w:marLeft w:val="0"/>
      <w:marRight w:val="0"/>
      <w:marTop w:val="0"/>
      <w:marBottom w:val="0"/>
      <w:divBdr>
        <w:top w:val="none" w:sz="0" w:space="0" w:color="auto"/>
        <w:left w:val="none" w:sz="0" w:space="0" w:color="auto"/>
        <w:bottom w:val="none" w:sz="0" w:space="0" w:color="auto"/>
        <w:right w:val="none" w:sz="0" w:space="0" w:color="auto"/>
      </w:divBdr>
    </w:div>
    <w:div w:id="1847591817">
      <w:bodyDiv w:val="1"/>
      <w:marLeft w:val="0"/>
      <w:marRight w:val="0"/>
      <w:marTop w:val="0"/>
      <w:marBottom w:val="0"/>
      <w:divBdr>
        <w:top w:val="none" w:sz="0" w:space="0" w:color="auto"/>
        <w:left w:val="none" w:sz="0" w:space="0" w:color="auto"/>
        <w:bottom w:val="none" w:sz="0" w:space="0" w:color="auto"/>
        <w:right w:val="none" w:sz="0" w:space="0" w:color="auto"/>
      </w:divBdr>
    </w:div>
    <w:div w:id="1864783968">
      <w:bodyDiv w:val="1"/>
      <w:marLeft w:val="0"/>
      <w:marRight w:val="0"/>
      <w:marTop w:val="0"/>
      <w:marBottom w:val="0"/>
      <w:divBdr>
        <w:top w:val="none" w:sz="0" w:space="0" w:color="auto"/>
        <w:left w:val="none" w:sz="0" w:space="0" w:color="auto"/>
        <w:bottom w:val="none" w:sz="0" w:space="0" w:color="auto"/>
        <w:right w:val="none" w:sz="0" w:space="0" w:color="auto"/>
      </w:divBdr>
    </w:div>
    <w:div w:id="1867476480">
      <w:bodyDiv w:val="1"/>
      <w:marLeft w:val="0"/>
      <w:marRight w:val="0"/>
      <w:marTop w:val="0"/>
      <w:marBottom w:val="0"/>
      <w:divBdr>
        <w:top w:val="none" w:sz="0" w:space="0" w:color="auto"/>
        <w:left w:val="none" w:sz="0" w:space="0" w:color="auto"/>
        <w:bottom w:val="none" w:sz="0" w:space="0" w:color="auto"/>
        <w:right w:val="none" w:sz="0" w:space="0" w:color="auto"/>
      </w:divBdr>
    </w:div>
    <w:div w:id="1870416060">
      <w:bodyDiv w:val="1"/>
      <w:marLeft w:val="0"/>
      <w:marRight w:val="0"/>
      <w:marTop w:val="0"/>
      <w:marBottom w:val="0"/>
      <w:divBdr>
        <w:top w:val="none" w:sz="0" w:space="0" w:color="auto"/>
        <w:left w:val="none" w:sz="0" w:space="0" w:color="auto"/>
        <w:bottom w:val="none" w:sz="0" w:space="0" w:color="auto"/>
        <w:right w:val="none" w:sz="0" w:space="0" w:color="auto"/>
      </w:divBdr>
    </w:div>
    <w:div w:id="1874730345">
      <w:bodyDiv w:val="1"/>
      <w:marLeft w:val="0"/>
      <w:marRight w:val="0"/>
      <w:marTop w:val="0"/>
      <w:marBottom w:val="0"/>
      <w:divBdr>
        <w:top w:val="none" w:sz="0" w:space="0" w:color="auto"/>
        <w:left w:val="none" w:sz="0" w:space="0" w:color="auto"/>
        <w:bottom w:val="none" w:sz="0" w:space="0" w:color="auto"/>
        <w:right w:val="none" w:sz="0" w:space="0" w:color="auto"/>
      </w:divBdr>
    </w:div>
    <w:div w:id="1882471534">
      <w:bodyDiv w:val="1"/>
      <w:marLeft w:val="0"/>
      <w:marRight w:val="0"/>
      <w:marTop w:val="0"/>
      <w:marBottom w:val="0"/>
      <w:divBdr>
        <w:top w:val="none" w:sz="0" w:space="0" w:color="auto"/>
        <w:left w:val="none" w:sz="0" w:space="0" w:color="auto"/>
        <w:bottom w:val="none" w:sz="0" w:space="0" w:color="auto"/>
        <w:right w:val="none" w:sz="0" w:space="0" w:color="auto"/>
      </w:divBdr>
    </w:div>
    <w:div w:id="1886091244">
      <w:bodyDiv w:val="1"/>
      <w:marLeft w:val="0"/>
      <w:marRight w:val="0"/>
      <w:marTop w:val="0"/>
      <w:marBottom w:val="0"/>
      <w:divBdr>
        <w:top w:val="none" w:sz="0" w:space="0" w:color="auto"/>
        <w:left w:val="none" w:sz="0" w:space="0" w:color="auto"/>
        <w:bottom w:val="none" w:sz="0" w:space="0" w:color="auto"/>
        <w:right w:val="none" w:sz="0" w:space="0" w:color="auto"/>
      </w:divBdr>
    </w:div>
    <w:div w:id="1905532123">
      <w:bodyDiv w:val="1"/>
      <w:marLeft w:val="0"/>
      <w:marRight w:val="0"/>
      <w:marTop w:val="0"/>
      <w:marBottom w:val="0"/>
      <w:divBdr>
        <w:top w:val="none" w:sz="0" w:space="0" w:color="auto"/>
        <w:left w:val="none" w:sz="0" w:space="0" w:color="auto"/>
        <w:bottom w:val="none" w:sz="0" w:space="0" w:color="auto"/>
        <w:right w:val="none" w:sz="0" w:space="0" w:color="auto"/>
      </w:divBdr>
    </w:div>
    <w:div w:id="1909462268">
      <w:bodyDiv w:val="1"/>
      <w:marLeft w:val="0"/>
      <w:marRight w:val="0"/>
      <w:marTop w:val="0"/>
      <w:marBottom w:val="0"/>
      <w:divBdr>
        <w:top w:val="none" w:sz="0" w:space="0" w:color="auto"/>
        <w:left w:val="none" w:sz="0" w:space="0" w:color="auto"/>
        <w:bottom w:val="none" w:sz="0" w:space="0" w:color="auto"/>
        <w:right w:val="none" w:sz="0" w:space="0" w:color="auto"/>
      </w:divBdr>
    </w:div>
    <w:div w:id="1910068407">
      <w:bodyDiv w:val="1"/>
      <w:marLeft w:val="0"/>
      <w:marRight w:val="0"/>
      <w:marTop w:val="0"/>
      <w:marBottom w:val="0"/>
      <w:divBdr>
        <w:top w:val="none" w:sz="0" w:space="0" w:color="auto"/>
        <w:left w:val="none" w:sz="0" w:space="0" w:color="auto"/>
        <w:bottom w:val="none" w:sz="0" w:space="0" w:color="auto"/>
        <w:right w:val="none" w:sz="0" w:space="0" w:color="auto"/>
      </w:divBdr>
    </w:div>
    <w:div w:id="1929264468">
      <w:bodyDiv w:val="1"/>
      <w:marLeft w:val="0"/>
      <w:marRight w:val="0"/>
      <w:marTop w:val="0"/>
      <w:marBottom w:val="0"/>
      <w:divBdr>
        <w:top w:val="none" w:sz="0" w:space="0" w:color="auto"/>
        <w:left w:val="none" w:sz="0" w:space="0" w:color="auto"/>
        <w:bottom w:val="none" w:sz="0" w:space="0" w:color="auto"/>
        <w:right w:val="none" w:sz="0" w:space="0" w:color="auto"/>
      </w:divBdr>
    </w:div>
    <w:div w:id="1951860395">
      <w:bodyDiv w:val="1"/>
      <w:marLeft w:val="0"/>
      <w:marRight w:val="0"/>
      <w:marTop w:val="0"/>
      <w:marBottom w:val="0"/>
      <w:divBdr>
        <w:top w:val="none" w:sz="0" w:space="0" w:color="auto"/>
        <w:left w:val="none" w:sz="0" w:space="0" w:color="auto"/>
        <w:bottom w:val="none" w:sz="0" w:space="0" w:color="auto"/>
        <w:right w:val="none" w:sz="0" w:space="0" w:color="auto"/>
      </w:divBdr>
    </w:div>
    <w:div w:id="1957591466">
      <w:bodyDiv w:val="1"/>
      <w:marLeft w:val="0"/>
      <w:marRight w:val="0"/>
      <w:marTop w:val="0"/>
      <w:marBottom w:val="0"/>
      <w:divBdr>
        <w:top w:val="none" w:sz="0" w:space="0" w:color="auto"/>
        <w:left w:val="none" w:sz="0" w:space="0" w:color="auto"/>
        <w:bottom w:val="none" w:sz="0" w:space="0" w:color="auto"/>
        <w:right w:val="none" w:sz="0" w:space="0" w:color="auto"/>
      </w:divBdr>
    </w:div>
    <w:div w:id="1961375395">
      <w:bodyDiv w:val="1"/>
      <w:marLeft w:val="0"/>
      <w:marRight w:val="0"/>
      <w:marTop w:val="0"/>
      <w:marBottom w:val="0"/>
      <w:divBdr>
        <w:top w:val="none" w:sz="0" w:space="0" w:color="auto"/>
        <w:left w:val="none" w:sz="0" w:space="0" w:color="auto"/>
        <w:bottom w:val="none" w:sz="0" w:space="0" w:color="auto"/>
        <w:right w:val="none" w:sz="0" w:space="0" w:color="auto"/>
      </w:divBdr>
    </w:div>
    <w:div w:id="1977755555">
      <w:bodyDiv w:val="1"/>
      <w:marLeft w:val="0"/>
      <w:marRight w:val="0"/>
      <w:marTop w:val="0"/>
      <w:marBottom w:val="0"/>
      <w:divBdr>
        <w:top w:val="none" w:sz="0" w:space="0" w:color="auto"/>
        <w:left w:val="none" w:sz="0" w:space="0" w:color="auto"/>
        <w:bottom w:val="none" w:sz="0" w:space="0" w:color="auto"/>
        <w:right w:val="none" w:sz="0" w:space="0" w:color="auto"/>
      </w:divBdr>
    </w:div>
    <w:div w:id="1978097506">
      <w:bodyDiv w:val="1"/>
      <w:marLeft w:val="0"/>
      <w:marRight w:val="0"/>
      <w:marTop w:val="0"/>
      <w:marBottom w:val="0"/>
      <w:divBdr>
        <w:top w:val="none" w:sz="0" w:space="0" w:color="auto"/>
        <w:left w:val="none" w:sz="0" w:space="0" w:color="auto"/>
        <w:bottom w:val="none" w:sz="0" w:space="0" w:color="auto"/>
        <w:right w:val="none" w:sz="0" w:space="0" w:color="auto"/>
      </w:divBdr>
    </w:div>
    <w:div w:id="1978224318">
      <w:bodyDiv w:val="1"/>
      <w:marLeft w:val="0"/>
      <w:marRight w:val="0"/>
      <w:marTop w:val="0"/>
      <w:marBottom w:val="0"/>
      <w:divBdr>
        <w:top w:val="none" w:sz="0" w:space="0" w:color="auto"/>
        <w:left w:val="none" w:sz="0" w:space="0" w:color="auto"/>
        <w:bottom w:val="none" w:sz="0" w:space="0" w:color="auto"/>
        <w:right w:val="none" w:sz="0" w:space="0" w:color="auto"/>
      </w:divBdr>
    </w:div>
    <w:div w:id="1980182333">
      <w:bodyDiv w:val="1"/>
      <w:marLeft w:val="0"/>
      <w:marRight w:val="0"/>
      <w:marTop w:val="0"/>
      <w:marBottom w:val="0"/>
      <w:divBdr>
        <w:top w:val="none" w:sz="0" w:space="0" w:color="auto"/>
        <w:left w:val="none" w:sz="0" w:space="0" w:color="auto"/>
        <w:bottom w:val="none" w:sz="0" w:space="0" w:color="auto"/>
        <w:right w:val="none" w:sz="0" w:space="0" w:color="auto"/>
      </w:divBdr>
    </w:div>
    <w:div w:id="2001543706">
      <w:bodyDiv w:val="1"/>
      <w:marLeft w:val="0"/>
      <w:marRight w:val="0"/>
      <w:marTop w:val="0"/>
      <w:marBottom w:val="0"/>
      <w:divBdr>
        <w:top w:val="none" w:sz="0" w:space="0" w:color="auto"/>
        <w:left w:val="none" w:sz="0" w:space="0" w:color="auto"/>
        <w:bottom w:val="none" w:sz="0" w:space="0" w:color="auto"/>
        <w:right w:val="none" w:sz="0" w:space="0" w:color="auto"/>
      </w:divBdr>
    </w:div>
    <w:div w:id="2001735023">
      <w:bodyDiv w:val="1"/>
      <w:marLeft w:val="0"/>
      <w:marRight w:val="0"/>
      <w:marTop w:val="0"/>
      <w:marBottom w:val="0"/>
      <w:divBdr>
        <w:top w:val="none" w:sz="0" w:space="0" w:color="auto"/>
        <w:left w:val="none" w:sz="0" w:space="0" w:color="auto"/>
        <w:bottom w:val="none" w:sz="0" w:space="0" w:color="auto"/>
        <w:right w:val="none" w:sz="0" w:space="0" w:color="auto"/>
      </w:divBdr>
    </w:div>
    <w:div w:id="2007393884">
      <w:bodyDiv w:val="1"/>
      <w:marLeft w:val="0"/>
      <w:marRight w:val="0"/>
      <w:marTop w:val="0"/>
      <w:marBottom w:val="0"/>
      <w:divBdr>
        <w:top w:val="none" w:sz="0" w:space="0" w:color="auto"/>
        <w:left w:val="none" w:sz="0" w:space="0" w:color="auto"/>
        <w:bottom w:val="none" w:sz="0" w:space="0" w:color="auto"/>
        <w:right w:val="none" w:sz="0" w:space="0" w:color="auto"/>
      </w:divBdr>
    </w:div>
    <w:div w:id="2008971224">
      <w:bodyDiv w:val="1"/>
      <w:marLeft w:val="0"/>
      <w:marRight w:val="0"/>
      <w:marTop w:val="0"/>
      <w:marBottom w:val="0"/>
      <w:divBdr>
        <w:top w:val="none" w:sz="0" w:space="0" w:color="auto"/>
        <w:left w:val="none" w:sz="0" w:space="0" w:color="auto"/>
        <w:bottom w:val="none" w:sz="0" w:space="0" w:color="auto"/>
        <w:right w:val="none" w:sz="0" w:space="0" w:color="auto"/>
      </w:divBdr>
    </w:div>
    <w:div w:id="2010523359">
      <w:bodyDiv w:val="1"/>
      <w:marLeft w:val="0"/>
      <w:marRight w:val="0"/>
      <w:marTop w:val="0"/>
      <w:marBottom w:val="0"/>
      <w:divBdr>
        <w:top w:val="none" w:sz="0" w:space="0" w:color="auto"/>
        <w:left w:val="none" w:sz="0" w:space="0" w:color="auto"/>
        <w:bottom w:val="none" w:sz="0" w:space="0" w:color="auto"/>
        <w:right w:val="none" w:sz="0" w:space="0" w:color="auto"/>
      </w:divBdr>
    </w:div>
    <w:div w:id="2016035336">
      <w:bodyDiv w:val="1"/>
      <w:marLeft w:val="0"/>
      <w:marRight w:val="0"/>
      <w:marTop w:val="0"/>
      <w:marBottom w:val="0"/>
      <w:divBdr>
        <w:top w:val="none" w:sz="0" w:space="0" w:color="auto"/>
        <w:left w:val="none" w:sz="0" w:space="0" w:color="auto"/>
        <w:bottom w:val="none" w:sz="0" w:space="0" w:color="auto"/>
        <w:right w:val="none" w:sz="0" w:space="0" w:color="auto"/>
      </w:divBdr>
    </w:div>
    <w:div w:id="2020505047">
      <w:bodyDiv w:val="1"/>
      <w:marLeft w:val="0"/>
      <w:marRight w:val="0"/>
      <w:marTop w:val="0"/>
      <w:marBottom w:val="0"/>
      <w:divBdr>
        <w:top w:val="none" w:sz="0" w:space="0" w:color="auto"/>
        <w:left w:val="none" w:sz="0" w:space="0" w:color="auto"/>
        <w:bottom w:val="none" w:sz="0" w:space="0" w:color="auto"/>
        <w:right w:val="none" w:sz="0" w:space="0" w:color="auto"/>
      </w:divBdr>
    </w:div>
    <w:div w:id="2023389816">
      <w:bodyDiv w:val="1"/>
      <w:marLeft w:val="0"/>
      <w:marRight w:val="0"/>
      <w:marTop w:val="0"/>
      <w:marBottom w:val="0"/>
      <w:divBdr>
        <w:top w:val="none" w:sz="0" w:space="0" w:color="auto"/>
        <w:left w:val="none" w:sz="0" w:space="0" w:color="auto"/>
        <w:bottom w:val="none" w:sz="0" w:space="0" w:color="auto"/>
        <w:right w:val="none" w:sz="0" w:space="0" w:color="auto"/>
      </w:divBdr>
    </w:div>
    <w:div w:id="2024041670">
      <w:bodyDiv w:val="1"/>
      <w:marLeft w:val="0"/>
      <w:marRight w:val="0"/>
      <w:marTop w:val="0"/>
      <w:marBottom w:val="0"/>
      <w:divBdr>
        <w:top w:val="none" w:sz="0" w:space="0" w:color="auto"/>
        <w:left w:val="none" w:sz="0" w:space="0" w:color="auto"/>
        <w:bottom w:val="none" w:sz="0" w:space="0" w:color="auto"/>
        <w:right w:val="none" w:sz="0" w:space="0" w:color="auto"/>
      </w:divBdr>
    </w:div>
    <w:div w:id="2030139069">
      <w:bodyDiv w:val="1"/>
      <w:marLeft w:val="0"/>
      <w:marRight w:val="0"/>
      <w:marTop w:val="0"/>
      <w:marBottom w:val="0"/>
      <w:divBdr>
        <w:top w:val="none" w:sz="0" w:space="0" w:color="auto"/>
        <w:left w:val="none" w:sz="0" w:space="0" w:color="auto"/>
        <w:bottom w:val="none" w:sz="0" w:space="0" w:color="auto"/>
        <w:right w:val="none" w:sz="0" w:space="0" w:color="auto"/>
      </w:divBdr>
    </w:div>
    <w:div w:id="2036610931">
      <w:bodyDiv w:val="1"/>
      <w:marLeft w:val="0"/>
      <w:marRight w:val="0"/>
      <w:marTop w:val="0"/>
      <w:marBottom w:val="0"/>
      <w:divBdr>
        <w:top w:val="none" w:sz="0" w:space="0" w:color="auto"/>
        <w:left w:val="none" w:sz="0" w:space="0" w:color="auto"/>
        <w:bottom w:val="none" w:sz="0" w:space="0" w:color="auto"/>
        <w:right w:val="none" w:sz="0" w:space="0" w:color="auto"/>
      </w:divBdr>
    </w:div>
    <w:div w:id="2040163514">
      <w:bodyDiv w:val="1"/>
      <w:marLeft w:val="0"/>
      <w:marRight w:val="0"/>
      <w:marTop w:val="0"/>
      <w:marBottom w:val="0"/>
      <w:divBdr>
        <w:top w:val="none" w:sz="0" w:space="0" w:color="auto"/>
        <w:left w:val="none" w:sz="0" w:space="0" w:color="auto"/>
        <w:bottom w:val="none" w:sz="0" w:space="0" w:color="auto"/>
        <w:right w:val="none" w:sz="0" w:space="0" w:color="auto"/>
      </w:divBdr>
    </w:div>
    <w:div w:id="2066752020">
      <w:bodyDiv w:val="1"/>
      <w:marLeft w:val="0"/>
      <w:marRight w:val="0"/>
      <w:marTop w:val="0"/>
      <w:marBottom w:val="0"/>
      <w:divBdr>
        <w:top w:val="none" w:sz="0" w:space="0" w:color="auto"/>
        <w:left w:val="none" w:sz="0" w:space="0" w:color="auto"/>
        <w:bottom w:val="none" w:sz="0" w:space="0" w:color="auto"/>
        <w:right w:val="none" w:sz="0" w:space="0" w:color="auto"/>
      </w:divBdr>
    </w:div>
    <w:div w:id="2072338705">
      <w:bodyDiv w:val="1"/>
      <w:marLeft w:val="0"/>
      <w:marRight w:val="0"/>
      <w:marTop w:val="0"/>
      <w:marBottom w:val="0"/>
      <w:divBdr>
        <w:top w:val="none" w:sz="0" w:space="0" w:color="auto"/>
        <w:left w:val="none" w:sz="0" w:space="0" w:color="auto"/>
        <w:bottom w:val="none" w:sz="0" w:space="0" w:color="auto"/>
        <w:right w:val="none" w:sz="0" w:space="0" w:color="auto"/>
      </w:divBdr>
    </w:div>
    <w:div w:id="2110155913">
      <w:bodyDiv w:val="1"/>
      <w:marLeft w:val="0"/>
      <w:marRight w:val="0"/>
      <w:marTop w:val="0"/>
      <w:marBottom w:val="0"/>
      <w:divBdr>
        <w:top w:val="none" w:sz="0" w:space="0" w:color="auto"/>
        <w:left w:val="none" w:sz="0" w:space="0" w:color="auto"/>
        <w:bottom w:val="none" w:sz="0" w:space="0" w:color="auto"/>
        <w:right w:val="none" w:sz="0" w:space="0" w:color="auto"/>
      </w:divBdr>
    </w:div>
    <w:div w:id="2125996779">
      <w:bodyDiv w:val="1"/>
      <w:marLeft w:val="0"/>
      <w:marRight w:val="0"/>
      <w:marTop w:val="0"/>
      <w:marBottom w:val="0"/>
      <w:divBdr>
        <w:top w:val="none" w:sz="0" w:space="0" w:color="auto"/>
        <w:left w:val="none" w:sz="0" w:space="0" w:color="auto"/>
        <w:bottom w:val="none" w:sz="0" w:space="0" w:color="auto"/>
        <w:right w:val="none" w:sz="0" w:space="0" w:color="auto"/>
      </w:divBdr>
    </w:div>
    <w:div w:id="2135323801">
      <w:bodyDiv w:val="1"/>
      <w:marLeft w:val="0"/>
      <w:marRight w:val="0"/>
      <w:marTop w:val="0"/>
      <w:marBottom w:val="0"/>
      <w:divBdr>
        <w:top w:val="none" w:sz="0" w:space="0" w:color="auto"/>
        <w:left w:val="none" w:sz="0" w:space="0" w:color="auto"/>
        <w:bottom w:val="none" w:sz="0" w:space="0" w:color="auto"/>
        <w:right w:val="none" w:sz="0" w:space="0" w:color="auto"/>
      </w:divBdr>
    </w:div>
    <w:div w:id="213971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2.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package" Target="embeddings/Microsoft_Excel_Worksheet2.xlsx"/><Relationship Id="rId10" Type="http://schemas.openxmlformats.org/officeDocument/2006/relationships/webSettings" Target="webSettings.xml"/><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image" Target="media/image7.emf"/><Relationship Id="rId30" Type="http://schemas.openxmlformats.org/officeDocument/2006/relationships/package" Target="embeddings/Microsoft_PowerPoint_Presentation3.pptx"/></Relationships>
</file>

<file path=word/charts/_rels/chart1.xml.rels><?xml version="1.0" encoding="UTF-8" standalone="yes"?>
<Relationships xmlns="http://schemas.openxmlformats.org/package/2006/relationships"><Relationship Id="rId1" Type="http://schemas.openxmlformats.org/officeDocument/2006/relationships/oleObject" Target="http://nlgnet.nlg.nhs.uk/Finance/Finance%20Directorate%20Reporting/Central%20Income/2018-2019/M4/Activity%20and%20Income%20Reporting%20-%20Mth%204%201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xnlg.nhs.uk\Data\Finance%20&amp;%20Performance%20Management\Director%20of%20Finance\Activity%20Uploads\1819%20Activity%20&amp;%20Income%20Reporting%20Month%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xnlg.nhs.uk\Data\Finance%20&amp;%20Performance%20Management\Director%20of%20Finance\Activity%20Uploads\1819%20Activity%20&amp;%20Income%20Reporting%20Month%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xnlg.nhs.uk\Data\Finance%20&amp;%20Performance%20Management\Financial%20Accounting\Financial%20Services\Planning\Board%20Reports%202018-19\July%202018\Run%20Rate%20graphs%20m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xnlg.nhs.uk\Data\Finance%20&amp;%20Performance%20Management\Financial%20Accounting\Financial%20Services\Planning\Board%20Reports%202018-19\July%202018\Run%20Rate%20graphs%20m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xnlg.nhs.uk\Data\Finance%20&amp;%20Performance%20Management\Financial%20Accounting\Financial%20Services\Planning\Board%20Reports%202018-19\July%202018\Run%20Rate%20graphs%20m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xnlg.nhs.uk\Data\Finance%20&amp;%20Performance%20Management\Financial%20Accounting\Financial%20Services\Planning\Board%20Reports%202018-19\July%202018\Run%20Rate%20graphs%20m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A&amp;E</a:t>
            </a:r>
          </a:p>
        </c:rich>
      </c:tx>
      <c:overlay val="0"/>
    </c:title>
    <c:autoTitleDeleted val="0"/>
    <c:plotArea>
      <c:layout>
        <c:manualLayout>
          <c:layoutTarget val="inner"/>
          <c:xMode val="edge"/>
          <c:yMode val="edge"/>
          <c:x val="0.19262751531058617"/>
          <c:y val="0.16476775542648112"/>
          <c:w val="0.69558048993875765"/>
          <c:h val="0.53875974250615577"/>
        </c:manualLayout>
      </c:layout>
      <c:lineChart>
        <c:grouping val="standard"/>
        <c:varyColors val="0"/>
        <c:ser>
          <c:idx val="0"/>
          <c:order val="0"/>
          <c:tx>
            <c:strRef>
              <c:f>'Trust chart'!$G$31</c:f>
              <c:strCache>
                <c:ptCount val="1"/>
                <c:pt idx="0">
                  <c:v>2017/18 Actual</c:v>
                </c:pt>
              </c:strCache>
            </c:strRef>
          </c:tx>
          <c:spPr>
            <a:ln>
              <a:solidFill>
                <a:schemeClr val="accent3">
                  <a:lumMod val="75000"/>
                  <a:alpha val="50000"/>
                </a:schemeClr>
              </a:solidFill>
            </a:ln>
          </c:spPr>
          <c:marker>
            <c:symbol val="diamond"/>
            <c:size val="7"/>
            <c:spPr>
              <a:solidFill>
                <a:schemeClr val="accent6">
                  <a:lumMod val="75000"/>
                  <a:alpha val="50000"/>
                </a:schemeClr>
              </a:solidFill>
            </c:spPr>
          </c:marker>
          <c:cat>
            <c:strRef>
              <c:f>'Trust chart'!$F$32:$F$43</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chart'!$G$32:$G$43</c:f>
              <c:numCache>
                <c:formatCode>_-* #,##0_-;\-* #,##0_-;_-* "-"??_-;_-@_-</c:formatCode>
                <c:ptCount val="12"/>
                <c:pt idx="0">
                  <c:v>11316</c:v>
                </c:pt>
                <c:pt idx="1">
                  <c:v>11743</c:v>
                </c:pt>
                <c:pt idx="2">
                  <c:v>11495</c:v>
                </c:pt>
                <c:pt idx="3">
                  <c:v>11715</c:v>
                </c:pt>
                <c:pt idx="4">
                  <c:v>11243</c:v>
                </c:pt>
                <c:pt idx="5">
                  <c:v>11322</c:v>
                </c:pt>
                <c:pt idx="6">
                  <c:v>11587</c:v>
                </c:pt>
                <c:pt idx="7">
                  <c:v>10957</c:v>
                </c:pt>
                <c:pt idx="8">
                  <c:v>11347</c:v>
                </c:pt>
                <c:pt idx="9">
                  <c:v>11496</c:v>
                </c:pt>
                <c:pt idx="10">
                  <c:v>10052</c:v>
                </c:pt>
                <c:pt idx="11">
                  <c:v>11910</c:v>
                </c:pt>
              </c:numCache>
            </c:numRef>
          </c:val>
          <c:smooth val="0"/>
        </c:ser>
        <c:ser>
          <c:idx val="1"/>
          <c:order val="1"/>
          <c:tx>
            <c:strRef>
              <c:f>'Trust chart'!$H$31</c:f>
              <c:strCache>
                <c:ptCount val="1"/>
                <c:pt idx="0">
                  <c:v>2018/19 Plan</c:v>
                </c:pt>
              </c:strCache>
            </c:strRef>
          </c:tx>
          <c:spPr>
            <a:ln>
              <a:solidFill>
                <a:srgbClr val="0070C0"/>
              </a:solidFill>
            </a:ln>
          </c:spPr>
          <c:marker>
            <c:symbol val="diamond"/>
            <c:size val="7"/>
            <c:spPr>
              <a:solidFill>
                <a:srgbClr val="7030A0"/>
              </a:solidFill>
            </c:spPr>
          </c:marker>
          <c:cat>
            <c:strRef>
              <c:f>'Trust chart'!$F$32:$F$43</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chart'!$H$32:$H$43</c:f>
              <c:numCache>
                <c:formatCode>_-* #,##0_-;\-* #,##0_-;_-* "-"??_-;_-@_-</c:formatCode>
                <c:ptCount val="12"/>
                <c:pt idx="0">
                  <c:v>10930.326795613466</c:v>
                </c:pt>
                <c:pt idx="1">
                  <c:v>11721.384919547923</c:v>
                </c:pt>
                <c:pt idx="2">
                  <c:v>11493.16480818598</c:v>
                </c:pt>
                <c:pt idx="3">
                  <c:v>11934.495285605872</c:v>
                </c:pt>
                <c:pt idx="4">
                  <c:v>11116.365534668463</c:v>
                </c:pt>
                <c:pt idx="5">
                  <c:v>11213.004947341735</c:v>
                </c:pt>
                <c:pt idx="6">
                  <c:v>11440.91027234315</c:v>
                </c:pt>
                <c:pt idx="7">
                  <c:v>10800.94960144829</c:v>
                </c:pt>
                <c:pt idx="8">
                  <c:v>10952.047054487884</c:v>
                </c:pt>
                <c:pt idx="9">
                  <c:v>11105.033225690497</c:v>
                </c:pt>
                <c:pt idx="10">
                  <c:v>10251.647402377159</c:v>
                </c:pt>
                <c:pt idx="11">
                  <c:v>11790.95270521822</c:v>
                </c:pt>
              </c:numCache>
            </c:numRef>
          </c:val>
          <c:smooth val="0"/>
        </c:ser>
        <c:ser>
          <c:idx val="2"/>
          <c:order val="2"/>
          <c:tx>
            <c:strRef>
              <c:f>'Trust chart'!$I$31</c:f>
              <c:strCache>
                <c:ptCount val="1"/>
                <c:pt idx="0">
                  <c:v>2018/19 Actual</c:v>
                </c:pt>
              </c:strCache>
            </c:strRef>
          </c:tx>
          <c:spPr>
            <a:ln>
              <a:solidFill>
                <a:srgbClr val="FFC000"/>
              </a:solidFill>
            </a:ln>
          </c:spPr>
          <c:marker>
            <c:symbol val="diamond"/>
            <c:size val="7"/>
            <c:spPr>
              <a:solidFill>
                <a:schemeClr val="accent6">
                  <a:lumMod val="75000"/>
                </a:schemeClr>
              </a:solidFill>
            </c:spPr>
          </c:marker>
          <c:cat>
            <c:strRef>
              <c:f>'Trust chart'!$F$32:$F$43</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chart'!$I$32:$I$43</c:f>
              <c:numCache>
                <c:formatCode>_-* #,##0_-;\-* #,##0_-;_-* "-"??_-;_-@_-</c:formatCode>
                <c:ptCount val="12"/>
                <c:pt idx="0">
                  <c:v>11299</c:v>
                </c:pt>
                <c:pt idx="1">
                  <c:v>12138</c:v>
                </c:pt>
                <c:pt idx="2">
                  <c:v>12090</c:v>
                </c:pt>
                <c:pt idx="3">
                  <c:v>12695</c:v>
                </c:pt>
              </c:numCache>
            </c:numRef>
          </c:val>
          <c:smooth val="0"/>
        </c:ser>
        <c:dLbls>
          <c:showLegendKey val="0"/>
          <c:showVal val="0"/>
          <c:showCatName val="0"/>
          <c:showSerName val="0"/>
          <c:showPercent val="0"/>
          <c:showBubbleSize val="0"/>
        </c:dLbls>
        <c:marker val="1"/>
        <c:smooth val="0"/>
        <c:axId val="156504832"/>
        <c:axId val="156505984"/>
      </c:lineChart>
      <c:catAx>
        <c:axId val="156504832"/>
        <c:scaling>
          <c:orientation val="minMax"/>
        </c:scaling>
        <c:delete val="0"/>
        <c:axPos val="b"/>
        <c:majorTickMark val="none"/>
        <c:minorTickMark val="none"/>
        <c:tickLblPos val="nextTo"/>
        <c:crossAx val="156505984"/>
        <c:crosses val="autoZero"/>
        <c:auto val="1"/>
        <c:lblAlgn val="ctr"/>
        <c:lblOffset val="100"/>
        <c:noMultiLvlLbl val="0"/>
      </c:catAx>
      <c:valAx>
        <c:axId val="156505984"/>
        <c:scaling>
          <c:orientation val="minMax"/>
          <c:min val="9000"/>
        </c:scaling>
        <c:delete val="0"/>
        <c:axPos val="l"/>
        <c:majorGridlines/>
        <c:title>
          <c:tx>
            <c:rich>
              <a:bodyPr/>
              <a:lstStyle/>
              <a:p>
                <a:pPr>
                  <a:defRPr/>
                </a:pPr>
                <a:r>
                  <a:rPr lang="en-GB"/>
                  <a:t>Activity</a:t>
                </a:r>
                <a:r>
                  <a:rPr lang="en-GB" baseline="0"/>
                  <a:t> monthly</a:t>
                </a:r>
                <a:endParaRPr lang="en-GB"/>
              </a:p>
            </c:rich>
          </c:tx>
          <c:overlay val="0"/>
        </c:title>
        <c:numFmt formatCode="_-* #,##0_-;\-* #,##0_-;_-* &quot;-&quot;??_-;_-@_-" sourceLinked="1"/>
        <c:majorTickMark val="none"/>
        <c:minorTickMark val="none"/>
        <c:tickLblPos val="nextTo"/>
        <c:crossAx val="156504832"/>
        <c:crosses val="autoZero"/>
        <c:crossBetween val="between"/>
      </c:valAx>
    </c:plotArea>
    <c:legend>
      <c:legendPos val="r"/>
      <c:layout>
        <c:manualLayout>
          <c:xMode val="edge"/>
          <c:yMode val="edge"/>
          <c:x val="0.12987467191601049"/>
          <c:y val="0.86167660830361537"/>
          <c:w val="0.77568088363954513"/>
          <c:h val="8.32060437917134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ELECTIVE</a:t>
            </a:r>
          </a:p>
        </c:rich>
      </c:tx>
      <c:overlay val="0"/>
    </c:title>
    <c:autoTitleDeleted val="0"/>
    <c:plotArea>
      <c:layout>
        <c:manualLayout>
          <c:layoutTarget val="inner"/>
          <c:xMode val="edge"/>
          <c:yMode val="edge"/>
          <c:x val="0.19262751531058617"/>
          <c:y val="0.16476775542648112"/>
          <c:w val="0.69558048993875765"/>
          <c:h val="0.53875974250615577"/>
        </c:manualLayout>
      </c:layout>
      <c:lineChart>
        <c:grouping val="standard"/>
        <c:varyColors val="0"/>
        <c:ser>
          <c:idx val="0"/>
          <c:order val="0"/>
          <c:tx>
            <c:strRef>
              <c:f>'Trust chart'!$G$75</c:f>
              <c:strCache>
                <c:ptCount val="1"/>
                <c:pt idx="0">
                  <c:v>2017/18 Actual</c:v>
                </c:pt>
              </c:strCache>
            </c:strRef>
          </c:tx>
          <c:spPr>
            <a:ln>
              <a:solidFill>
                <a:schemeClr val="accent3">
                  <a:lumMod val="75000"/>
                  <a:alpha val="50000"/>
                </a:schemeClr>
              </a:solidFill>
            </a:ln>
          </c:spPr>
          <c:marker>
            <c:symbol val="diamond"/>
            <c:size val="7"/>
            <c:spPr>
              <a:solidFill>
                <a:schemeClr val="accent6">
                  <a:lumMod val="75000"/>
                  <a:alpha val="50000"/>
                </a:schemeClr>
              </a:solidFill>
            </c:spPr>
          </c:marker>
          <c:cat>
            <c:strRef>
              <c:f>'Trust chart'!$F$76:$F$87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chart'!$G$76:$G$87</c:f>
              <c:numCache>
                <c:formatCode>_-* #,##0_-;\-* #,##0_-;_-* "-"??_-;_-@_-</c:formatCode>
                <c:ptCount val="12"/>
                <c:pt idx="0">
                  <c:v>524</c:v>
                </c:pt>
                <c:pt idx="1">
                  <c:v>592</c:v>
                </c:pt>
                <c:pt idx="2">
                  <c:v>597</c:v>
                </c:pt>
                <c:pt idx="3">
                  <c:v>552</c:v>
                </c:pt>
                <c:pt idx="4">
                  <c:v>536</c:v>
                </c:pt>
                <c:pt idx="5">
                  <c:v>584</c:v>
                </c:pt>
                <c:pt idx="6">
                  <c:v>623</c:v>
                </c:pt>
                <c:pt idx="7">
                  <c:v>611</c:v>
                </c:pt>
                <c:pt idx="8">
                  <c:v>453</c:v>
                </c:pt>
                <c:pt idx="9">
                  <c:v>410</c:v>
                </c:pt>
                <c:pt idx="10">
                  <c:v>439</c:v>
                </c:pt>
                <c:pt idx="11">
                  <c:v>427</c:v>
                </c:pt>
              </c:numCache>
            </c:numRef>
          </c:val>
          <c:smooth val="0"/>
        </c:ser>
        <c:ser>
          <c:idx val="1"/>
          <c:order val="1"/>
          <c:tx>
            <c:strRef>
              <c:f>'Trust chart'!$H$75</c:f>
              <c:strCache>
                <c:ptCount val="1"/>
                <c:pt idx="0">
                  <c:v>2018/19 Plan</c:v>
                </c:pt>
              </c:strCache>
            </c:strRef>
          </c:tx>
          <c:spPr>
            <a:ln>
              <a:solidFill>
                <a:srgbClr val="0070C0"/>
              </a:solidFill>
            </a:ln>
          </c:spPr>
          <c:marker>
            <c:symbol val="diamond"/>
            <c:size val="7"/>
            <c:spPr>
              <a:solidFill>
                <a:srgbClr val="7030A0"/>
              </a:solidFill>
            </c:spPr>
          </c:marker>
          <c:cat>
            <c:strRef>
              <c:f>'Trust chart'!$F$76:$F$87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chart'!$H$76:$H$87</c:f>
              <c:numCache>
                <c:formatCode>_-* #,##0_-;\-* #,##0_-;_-* "-"??_-;_-@_-</c:formatCode>
                <c:ptCount val="12"/>
                <c:pt idx="0">
                  <c:v>582.54516877823585</c:v>
                </c:pt>
                <c:pt idx="1">
                  <c:v>659.40103234553555</c:v>
                </c:pt>
                <c:pt idx="2">
                  <c:v>663.85644472625017</c:v>
                </c:pt>
                <c:pt idx="3">
                  <c:v>613.73305544323136</c:v>
                </c:pt>
                <c:pt idx="4">
                  <c:v>595.91140592037732</c:v>
                </c:pt>
                <c:pt idx="5">
                  <c:v>648.26250139375702</c:v>
                </c:pt>
                <c:pt idx="6">
                  <c:v>693.93047829606189</c:v>
                </c:pt>
                <c:pt idx="7">
                  <c:v>678.3365349635651</c:v>
                </c:pt>
                <c:pt idx="8">
                  <c:v>505.68930521093404</c:v>
                </c:pt>
                <c:pt idx="9">
                  <c:v>453.33820973755769</c:v>
                </c:pt>
                <c:pt idx="10">
                  <c:v>486.75380259290392</c:v>
                </c:pt>
                <c:pt idx="11">
                  <c:v>474.50141854594426</c:v>
                </c:pt>
              </c:numCache>
            </c:numRef>
          </c:val>
          <c:smooth val="0"/>
        </c:ser>
        <c:ser>
          <c:idx val="2"/>
          <c:order val="2"/>
          <c:tx>
            <c:strRef>
              <c:f>'Trust chart'!$I$75</c:f>
              <c:strCache>
                <c:ptCount val="1"/>
                <c:pt idx="0">
                  <c:v>2018/19 Actual</c:v>
                </c:pt>
              </c:strCache>
            </c:strRef>
          </c:tx>
          <c:spPr>
            <a:ln>
              <a:solidFill>
                <a:srgbClr val="FFC000"/>
              </a:solidFill>
            </a:ln>
          </c:spPr>
          <c:marker>
            <c:symbol val="diamond"/>
            <c:size val="7"/>
            <c:spPr>
              <a:solidFill>
                <a:schemeClr val="accent6">
                  <a:lumMod val="75000"/>
                </a:schemeClr>
              </a:solidFill>
            </c:spPr>
          </c:marker>
          <c:cat>
            <c:strRef>
              <c:f>'Trust chart'!$F$76:$F$87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chart'!$I$76:$I$87</c:f>
              <c:numCache>
                <c:formatCode>_-* #,##0_-;\-* #,##0_-;_-* "-"??_-;_-@_-</c:formatCode>
                <c:ptCount val="12"/>
                <c:pt idx="0">
                  <c:v>444</c:v>
                </c:pt>
                <c:pt idx="1">
                  <c:v>614</c:v>
                </c:pt>
                <c:pt idx="2">
                  <c:v>609</c:v>
                </c:pt>
                <c:pt idx="3">
                  <c:v>590</c:v>
                </c:pt>
              </c:numCache>
            </c:numRef>
          </c:val>
          <c:smooth val="0"/>
        </c:ser>
        <c:dLbls>
          <c:showLegendKey val="0"/>
          <c:showVal val="0"/>
          <c:showCatName val="0"/>
          <c:showSerName val="0"/>
          <c:showPercent val="0"/>
          <c:showBubbleSize val="0"/>
        </c:dLbls>
        <c:marker val="1"/>
        <c:smooth val="0"/>
        <c:axId val="159841664"/>
        <c:axId val="162829824"/>
      </c:lineChart>
      <c:catAx>
        <c:axId val="159841664"/>
        <c:scaling>
          <c:orientation val="minMax"/>
        </c:scaling>
        <c:delete val="0"/>
        <c:axPos val="b"/>
        <c:majorTickMark val="none"/>
        <c:minorTickMark val="none"/>
        <c:tickLblPos val="nextTo"/>
        <c:crossAx val="162829824"/>
        <c:crosses val="autoZero"/>
        <c:auto val="1"/>
        <c:lblAlgn val="ctr"/>
        <c:lblOffset val="100"/>
        <c:noMultiLvlLbl val="0"/>
      </c:catAx>
      <c:valAx>
        <c:axId val="162829824"/>
        <c:scaling>
          <c:orientation val="minMax"/>
          <c:min val="300"/>
        </c:scaling>
        <c:delete val="0"/>
        <c:axPos val="l"/>
        <c:majorGridlines/>
        <c:title>
          <c:tx>
            <c:rich>
              <a:bodyPr/>
              <a:lstStyle/>
              <a:p>
                <a:pPr>
                  <a:defRPr/>
                </a:pPr>
                <a:r>
                  <a:rPr lang="en-GB"/>
                  <a:t>Activity</a:t>
                </a:r>
                <a:r>
                  <a:rPr lang="en-GB" baseline="0"/>
                  <a:t> monthly</a:t>
                </a:r>
                <a:endParaRPr lang="en-GB"/>
              </a:p>
            </c:rich>
          </c:tx>
          <c:overlay val="0"/>
        </c:title>
        <c:numFmt formatCode="_-* #,##0_-;\-* #,##0_-;_-* &quot;-&quot;??_-;_-@_-" sourceLinked="1"/>
        <c:majorTickMark val="none"/>
        <c:minorTickMark val="none"/>
        <c:tickLblPos val="nextTo"/>
        <c:crossAx val="159841664"/>
        <c:crosses val="autoZero"/>
        <c:crossBetween val="between"/>
      </c:valAx>
    </c:plotArea>
    <c:legend>
      <c:legendPos val="r"/>
      <c:layout>
        <c:manualLayout>
          <c:xMode val="edge"/>
          <c:yMode val="edge"/>
          <c:x val="0.12987467191601049"/>
          <c:y val="0.86167660830361537"/>
          <c:w val="0.77568088363954513"/>
          <c:h val="8.32060437917134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OUTPATIENTS - TOTAL</a:t>
            </a:r>
          </a:p>
        </c:rich>
      </c:tx>
      <c:overlay val="0"/>
    </c:title>
    <c:autoTitleDeleted val="0"/>
    <c:plotArea>
      <c:layout>
        <c:manualLayout>
          <c:layoutTarget val="inner"/>
          <c:xMode val="edge"/>
          <c:yMode val="edge"/>
          <c:x val="0.19262751531058617"/>
          <c:y val="0.16476775542648112"/>
          <c:w val="0.69558048993875765"/>
          <c:h val="0.53875974250615577"/>
        </c:manualLayout>
      </c:layout>
      <c:lineChart>
        <c:grouping val="standard"/>
        <c:varyColors val="0"/>
        <c:ser>
          <c:idx val="0"/>
          <c:order val="0"/>
          <c:tx>
            <c:strRef>
              <c:f>'Trust chart'!$G$185</c:f>
              <c:strCache>
                <c:ptCount val="1"/>
                <c:pt idx="0">
                  <c:v>2017/18 Actual</c:v>
                </c:pt>
              </c:strCache>
            </c:strRef>
          </c:tx>
          <c:spPr>
            <a:ln>
              <a:solidFill>
                <a:schemeClr val="accent3">
                  <a:lumMod val="75000"/>
                  <a:alpha val="50000"/>
                </a:schemeClr>
              </a:solidFill>
            </a:ln>
          </c:spPr>
          <c:marker>
            <c:symbol val="diamond"/>
            <c:size val="7"/>
            <c:spPr>
              <a:solidFill>
                <a:schemeClr val="accent6">
                  <a:lumMod val="75000"/>
                  <a:alpha val="50000"/>
                </a:schemeClr>
              </a:solidFill>
            </c:spPr>
          </c:marker>
          <c:cat>
            <c:strRef>
              <c:f>'Trust chart'!$F$186:$F$197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chart'!$G$186:$G$197</c:f>
              <c:numCache>
                <c:formatCode>_-* #,##0_-;\-* #,##0_-;_-* "-"??_-;_-@_-</c:formatCode>
                <c:ptCount val="12"/>
                <c:pt idx="0">
                  <c:v>25849</c:v>
                </c:pt>
                <c:pt idx="1">
                  <c:v>31292</c:v>
                </c:pt>
                <c:pt idx="2">
                  <c:v>31421</c:v>
                </c:pt>
                <c:pt idx="3">
                  <c:v>30775</c:v>
                </c:pt>
                <c:pt idx="4">
                  <c:v>30688</c:v>
                </c:pt>
                <c:pt idx="5">
                  <c:v>30505</c:v>
                </c:pt>
                <c:pt idx="6">
                  <c:v>32728</c:v>
                </c:pt>
                <c:pt idx="7">
                  <c:v>31983</c:v>
                </c:pt>
                <c:pt idx="8">
                  <c:v>24817</c:v>
                </c:pt>
                <c:pt idx="9">
                  <c:v>30324</c:v>
                </c:pt>
                <c:pt idx="10">
                  <c:v>27617</c:v>
                </c:pt>
                <c:pt idx="11">
                  <c:v>29808</c:v>
                </c:pt>
              </c:numCache>
            </c:numRef>
          </c:val>
          <c:smooth val="0"/>
        </c:ser>
        <c:ser>
          <c:idx val="1"/>
          <c:order val="1"/>
          <c:tx>
            <c:strRef>
              <c:f>'Trust chart'!$H$185</c:f>
              <c:strCache>
                <c:ptCount val="1"/>
                <c:pt idx="0">
                  <c:v>2018/19 Plan</c:v>
                </c:pt>
              </c:strCache>
            </c:strRef>
          </c:tx>
          <c:spPr>
            <a:ln>
              <a:solidFill>
                <a:srgbClr val="0070C0"/>
              </a:solidFill>
            </a:ln>
          </c:spPr>
          <c:marker>
            <c:symbol val="diamond"/>
            <c:size val="7"/>
            <c:spPr>
              <a:solidFill>
                <a:srgbClr val="7030A0"/>
              </a:solidFill>
            </c:spPr>
          </c:marker>
          <c:cat>
            <c:strRef>
              <c:f>'Trust chart'!$F$186:$F$197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chart'!$H$186:$H$197</c:f>
              <c:numCache>
                <c:formatCode>_-* #,##0_-;\-* #,##0_-;_-* "-"??_-;_-@_-</c:formatCode>
                <c:ptCount val="12"/>
                <c:pt idx="0">
                  <c:v>30014.36827939855</c:v>
                </c:pt>
                <c:pt idx="1">
                  <c:v>31441.270336794991</c:v>
                </c:pt>
                <c:pt idx="2">
                  <c:v>33078.81466864016</c:v>
                </c:pt>
                <c:pt idx="3">
                  <c:v>33017.20215915842</c:v>
                </c:pt>
                <c:pt idx="4">
                  <c:v>32894.8184429006</c:v>
                </c:pt>
                <c:pt idx="5">
                  <c:v>32876.098341716031</c:v>
                </c:pt>
                <c:pt idx="6">
                  <c:v>35502.851298238733</c:v>
                </c:pt>
                <c:pt idx="7">
                  <c:v>35048.359137803003</c:v>
                </c:pt>
                <c:pt idx="8">
                  <c:v>28823.290970221773</c:v>
                </c:pt>
                <c:pt idx="9">
                  <c:v>34444.118430547045</c:v>
                </c:pt>
                <c:pt idx="10">
                  <c:v>32720.431255807867</c:v>
                </c:pt>
                <c:pt idx="11">
                  <c:v>34012.138489155695</c:v>
                </c:pt>
              </c:numCache>
            </c:numRef>
          </c:val>
          <c:smooth val="0"/>
        </c:ser>
        <c:ser>
          <c:idx val="2"/>
          <c:order val="2"/>
          <c:tx>
            <c:strRef>
              <c:f>'Trust chart'!$I$185</c:f>
              <c:strCache>
                <c:ptCount val="1"/>
                <c:pt idx="0">
                  <c:v>2018/19 Actual</c:v>
                </c:pt>
              </c:strCache>
            </c:strRef>
          </c:tx>
          <c:spPr>
            <a:ln>
              <a:solidFill>
                <a:srgbClr val="FFC000"/>
              </a:solidFill>
            </a:ln>
          </c:spPr>
          <c:marker>
            <c:symbol val="diamond"/>
            <c:size val="7"/>
            <c:spPr>
              <a:solidFill>
                <a:schemeClr val="accent6">
                  <a:lumMod val="75000"/>
                </a:schemeClr>
              </a:solidFill>
            </c:spPr>
          </c:marker>
          <c:cat>
            <c:strRef>
              <c:f>'Trust chart'!$F$186:$F$197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'Trust chart'!$I$186:$I$197</c:f>
              <c:numCache>
                <c:formatCode>_-* #,##0_-;\-* #,##0_-;_-* "-"??_-;_-@_-</c:formatCode>
                <c:ptCount val="12"/>
                <c:pt idx="0">
                  <c:v>29885</c:v>
                </c:pt>
                <c:pt idx="1">
                  <c:v>31182</c:v>
                </c:pt>
                <c:pt idx="2">
                  <c:v>30185</c:v>
                </c:pt>
                <c:pt idx="3">
                  <c:v>31241</c:v>
                </c:pt>
              </c:numCache>
            </c:numRef>
          </c:val>
          <c:smooth val="0"/>
        </c:ser>
        <c:dLbls>
          <c:showLegendKey val="0"/>
          <c:showVal val="0"/>
          <c:showCatName val="0"/>
          <c:showSerName val="0"/>
          <c:showPercent val="0"/>
          <c:showBubbleSize val="0"/>
        </c:dLbls>
        <c:marker val="1"/>
        <c:smooth val="0"/>
        <c:axId val="162848128"/>
        <c:axId val="178726400"/>
      </c:lineChart>
      <c:catAx>
        <c:axId val="162848128"/>
        <c:scaling>
          <c:orientation val="minMax"/>
        </c:scaling>
        <c:delete val="0"/>
        <c:axPos val="b"/>
        <c:majorTickMark val="none"/>
        <c:minorTickMark val="none"/>
        <c:tickLblPos val="nextTo"/>
        <c:crossAx val="178726400"/>
        <c:crosses val="autoZero"/>
        <c:auto val="1"/>
        <c:lblAlgn val="ctr"/>
        <c:lblOffset val="100"/>
        <c:noMultiLvlLbl val="0"/>
      </c:catAx>
      <c:valAx>
        <c:axId val="178726400"/>
        <c:scaling>
          <c:orientation val="minMax"/>
          <c:min val="20000"/>
        </c:scaling>
        <c:delete val="0"/>
        <c:axPos val="l"/>
        <c:majorGridlines/>
        <c:title>
          <c:tx>
            <c:rich>
              <a:bodyPr/>
              <a:lstStyle/>
              <a:p>
                <a:pPr>
                  <a:defRPr/>
                </a:pPr>
                <a:r>
                  <a:rPr lang="en-GB"/>
                  <a:t>Activity</a:t>
                </a:r>
                <a:r>
                  <a:rPr lang="en-GB" baseline="0"/>
                  <a:t> monthly</a:t>
                </a:r>
                <a:endParaRPr lang="en-GB"/>
              </a:p>
            </c:rich>
          </c:tx>
          <c:overlay val="0"/>
        </c:title>
        <c:numFmt formatCode="_-* #,##0_-;\-* #,##0_-;_-* &quot;-&quot;??_-;_-@_-" sourceLinked="1"/>
        <c:majorTickMark val="none"/>
        <c:minorTickMark val="none"/>
        <c:tickLblPos val="nextTo"/>
        <c:crossAx val="162848128"/>
        <c:crosses val="autoZero"/>
        <c:crossBetween val="between"/>
      </c:valAx>
    </c:plotArea>
    <c:legend>
      <c:legendPos val="r"/>
      <c:layout>
        <c:manualLayout>
          <c:xMode val="edge"/>
          <c:yMode val="edge"/>
          <c:x val="0.12987467191601049"/>
          <c:y val="0.86167660830361537"/>
          <c:w val="0.77568088363954513"/>
          <c:h val="8.320604379171341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Operating Expenditure Run Rate (exc technical items)</a:t>
            </a:r>
          </a:p>
        </c:rich>
      </c:tx>
      <c:overlay val="0"/>
    </c:title>
    <c:autoTitleDeleted val="0"/>
    <c:plotArea>
      <c:layout>
        <c:manualLayout>
          <c:layoutTarget val="inner"/>
          <c:xMode val="edge"/>
          <c:yMode val="edge"/>
          <c:x val="0.11040569289021109"/>
          <c:y val="0.14318140339984384"/>
          <c:w val="0.85526154055053649"/>
          <c:h val="0.67180575546336274"/>
        </c:manualLayout>
      </c:layout>
      <c:barChart>
        <c:barDir val="col"/>
        <c:grouping val="clustered"/>
        <c:varyColors val="0"/>
        <c:ser>
          <c:idx val="1"/>
          <c:order val="1"/>
          <c:tx>
            <c:strRef>
              <c:f>OpEx!$A$10</c:f>
              <c:strCache>
                <c:ptCount val="1"/>
                <c:pt idx="0">
                  <c:v>Actual/Forecast (excl. technical items)</c:v>
                </c:pt>
              </c:strCache>
            </c:strRef>
          </c:tx>
          <c:spPr>
            <a:solidFill>
              <a:srgbClr val="C00000"/>
            </a:solidFill>
          </c:spPr>
          <c:invertIfNegative val="0"/>
          <c:dPt>
            <c:idx val="8"/>
            <c:invertIfNegative val="0"/>
            <c:bubble3D val="0"/>
          </c:dPt>
          <c:dPt>
            <c:idx val="9"/>
            <c:invertIfNegative val="0"/>
            <c:bubble3D val="0"/>
          </c:dPt>
          <c:dPt>
            <c:idx val="10"/>
            <c:invertIfNegative val="0"/>
            <c:bubble3D val="0"/>
          </c:dPt>
          <c:dPt>
            <c:idx val="11"/>
            <c:invertIfNegative val="0"/>
            <c:bubble3D val="0"/>
          </c:dPt>
          <c:cat>
            <c:numRef>
              <c:f>OpEx!$B$6:$Y$6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OpEx!$B$10:$Y$10</c:f>
              <c:numCache>
                <c:formatCode>#,##0.00;[Red]\(#,##0.00\)</c:formatCode>
                <c:ptCount val="24"/>
                <c:pt idx="0">
                  <c:v>30.277004909999995</c:v>
                </c:pt>
                <c:pt idx="1">
                  <c:v>31.290195090000005</c:v>
                </c:pt>
                <c:pt idx="2">
                  <c:v>31.226309999999998</c:v>
                </c:pt>
                <c:pt idx="3">
                  <c:v>31.916323810000009</c:v>
                </c:pt>
                <c:pt idx="4">
                  <c:v>31.998122189999993</c:v>
                </c:pt>
                <c:pt idx="5">
                  <c:v>31.805618649999989</c:v>
                </c:pt>
                <c:pt idx="6">
                  <c:v>32.148838060000017</c:v>
                </c:pt>
                <c:pt idx="7">
                  <c:v>32.345862429999997</c:v>
                </c:pt>
                <c:pt idx="8">
                  <c:v>31.174513410000007</c:v>
                </c:pt>
                <c:pt idx="9">
                  <c:v>32.4</c:v>
                </c:pt>
                <c:pt idx="10">
                  <c:v>31.457000000000001</c:v>
                </c:pt>
                <c:pt idx="11">
                  <c:v>32.360999999999997</c:v>
                </c:pt>
                <c:pt idx="12">
                  <c:v>32.03</c:v>
                </c:pt>
                <c:pt idx="13">
                  <c:v>32.646000000000001</c:v>
                </c:pt>
                <c:pt idx="14">
                  <c:v>32.389000000000003</c:v>
                </c:pt>
                <c:pt idx="15">
                  <c:v>33.183999999999997</c:v>
                </c:pt>
              </c:numCache>
            </c:numRef>
          </c:val>
        </c:ser>
        <c:dLbls>
          <c:showLegendKey val="0"/>
          <c:showVal val="0"/>
          <c:showCatName val="0"/>
          <c:showSerName val="0"/>
          <c:showPercent val="0"/>
          <c:showBubbleSize val="0"/>
        </c:dLbls>
        <c:gapWidth val="150"/>
        <c:axId val="178746112"/>
        <c:axId val="178747648"/>
      </c:barChart>
      <c:lineChart>
        <c:grouping val="standard"/>
        <c:varyColors val="0"/>
        <c:ser>
          <c:idx val="0"/>
          <c:order val="0"/>
          <c:tx>
            <c:strRef>
              <c:f>OpEx!$A$9</c:f>
              <c:strCache>
                <c:ptCount val="1"/>
                <c:pt idx="0">
                  <c:v>Operating Expenditure - Full Target</c:v>
                </c:pt>
              </c:strCache>
            </c:strRef>
          </c:tx>
          <c:spPr>
            <a:ln>
              <a:solidFill>
                <a:schemeClr val="tx1"/>
              </a:solidFill>
            </a:ln>
          </c:spPr>
          <c:marker>
            <c:symbol val="none"/>
          </c:marker>
          <c:cat>
            <c:numRef>
              <c:f>OpEx!$B$6:$Y$6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OpEx!$B$9:$Y$9</c:f>
              <c:numCache>
                <c:formatCode>#,##0.00;[Red]\(#,##0.00\)</c:formatCode>
                <c:ptCount val="24"/>
                <c:pt idx="0">
                  <c:v>30.277004909999995</c:v>
                </c:pt>
                <c:pt idx="1">
                  <c:v>31.290195090000005</c:v>
                </c:pt>
                <c:pt idx="2">
                  <c:v>31.226309999999998</c:v>
                </c:pt>
                <c:pt idx="3">
                  <c:v>31.916323810000009</c:v>
                </c:pt>
                <c:pt idx="4">
                  <c:v>31.998122189999993</c:v>
                </c:pt>
                <c:pt idx="5">
                  <c:v>31.712697583333323</c:v>
                </c:pt>
                <c:pt idx="6">
                  <c:v>31.866244018293649</c:v>
                </c:pt>
                <c:pt idx="7">
                  <c:v>31.471177254198412</c:v>
                </c:pt>
                <c:pt idx="8">
                  <c:v>31.049263517569845</c:v>
                </c:pt>
                <c:pt idx="9">
                  <c:v>31</c:v>
                </c:pt>
                <c:pt idx="10">
                  <c:v>30.3</c:v>
                </c:pt>
                <c:pt idx="11">
                  <c:v>30.6</c:v>
                </c:pt>
                <c:pt idx="12">
                  <c:v>32.337347139087086</c:v>
                </c:pt>
                <c:pt idx="13">
                  <c:v>32.01423692507889</c:v>
                </c:pt>
                <c:pt idx="14">
                  <c:v>32.220036095519525</c:v>
                </c:pt>
                <c:pt idx="15">
                  <c:v>32.800586339174075</c:v>
                </c:pt>
                <c:pt idx="16">
                  <c:v>33.467863795620417</c:v>
                </c:pt>
                <c:pt idx="17">
                  <c:v>32.052831888971532</c:v>
                </c:pt>
                <c:pt idx="18">
                  <c:v>33.089635991789272</c:v>
                </c:pt>
                <c:pt idx="19">
                  <c:v>32.352384656568951</c:v>
                </c:pt>
                <c:pt idx="20">
                  <c:v>31.231625317574668</c:v>
                </c:pt>
                <c:pt idx="21">
                  <c:v>32.110913898336513</c:v>
                </c:pt>
                <c:pt idx="22">
                  <c:v>31.462436061229216</c:v>
                </c:pt>
                <c:pt idx="23">
                  <c:v>31.798689729782865</c:v>
                </c:pt>
              </c:numCache>
            </c:numRef>
          </c:val>
          <c:smooth val="0"/>
        </c:ser>
        <c:dLbls>
          <c:showLegendKey val="0"/>
          <c:showVal val="0"/>
          <c:showCatName val="0"/>
          <c:showSerName val="0"/>
          <c:showPercent val="0"/>
          <c:showBubbleSize val="0"/>
        </c:dLbls>
        <c:marker val="1"/>
        <c:smooth val="0"/>
        <c:axId val="178746112"/>
        <c:axId val="178747648"/>
      </c:lineChart>
      <c:dateAx>
        <c:axId val="178746112"/>
        <c:scaling>
          <c:orientation val="minMax"/>
        </c:scaling>
        <c:delete val="0"/>
        <c:axPos val="b"/>
        <c:numFmt formatCode="mmm\-yy" sourceLinked="1"/>
        <c:majorTickMark val="out"/>
        <c:minorTickMark val="none"/>
        <c:tickLblPos val="nextTo"/>
        <c:txPr>
          <a:bodyPr/>
          <a:lstStyle/>
          <a:p>
            <a:pPr>
              <a:defRPr b="1" i="0" baseline="0"/>
            </a:pPr>
            <a:endParaRPr lang="en-US"/>
          </a:p>
        </c:txPr>
        <c:crossAx val="178747648"/>
        <c:crosses val="autoZero"/>
        <c:auto val="1"/>
        <c:lblOffset val="100"/>
        <c:baseTimeUnit val="months"/>
      </c:dateAx>
      <c:valAx>
        <c:axId val="178747648"/>
        <c:scaling>
          <c:orientation val="minMax"/>
        </c:scaling>
        <c:delete val="0"/>
        <c:axPos val="l"/>
        <c:majorGridlines/>
        <c:numFmt formatCode="#,##0.00" sourceLinked="0"/>
        <c:majorTickMark val="out"/>
        <c:minorTickMark val="none"/>
        <c:tickLblPos val="nextTo"/>
        <c:crossAx val="178746112"/>
        <c:crosses val="autoZero"/>
        <c:crossBetween val="between"/>
      </c:valAx>
    </c:plotArea>
    <c:legend>
      <c:legendPos val="r"/>
      <c:layout>
        <c:manualLayout>
          <c:xMode val="edge"/>
          <c:yMode val="edge"/>
          <c:x val="0.18687529720050469"/>
          <c:y val="0.60474096651897002"/>
          <c:w val="0.33854836665309729"/>
          <c:h val="0.1728354923376513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Medical Staffing Expenditure Run Rate</a:t>
            </a:r>
          </a:p>
        </c:rich>
      </c:tx>
      <c:overlay val="0"/>
    </c:title>
    <c:autoTitleDeleted val="0"/>
    <c:plotArea>
      <c:layout>
        <c:manualLayout>
          <c:layoutTarget val="inner"/>
          <c:xMode val="edge"/>
          <c:yMode val="edge"/>
          <c:x val="0.11040569289021109"/>
          <c:y val="0.14318140339984384"/>
          <c:w val="0.85526154055053649"/>
          <c:h val="0.67180575546336274"/>
        </c:manualLayout>
      </c:layout>
      <c:barChart>
        <c:barDir val="col"/>
        <c:grouping val="clustered"/>
        <c:varyColors val="0"/>
        <c:ser>
          <c:idx val="1"/>
          <c:order val="1"/>
          <c:tx>
            <c:strRef>
              <c:f>Medstaff!$A$10</c:f>
              <c:strCache>
                <c:ptCount val="1"/>
                <c:pt idx="0">
                  <c:v>Actual/Forecast (excl. technical items)</c:v>
                </c:pt>
              </c:strCache>
            </c:strRef>
          </c:tx>
          <c:spPr>
            <a:solidFill>
              <a:srgbClr val="C00000"/>
            </a:solidFill>
          </c:spPr>
          <c:invertIfNegative val="0"/>
          <c:dPt>
            <c:idx val="8"/>
            <c:invertIfNegative val="0"/>
            <c:bubble3D val="0"/>
          </c:dPt>
          <c:dPt>
            <c:idx val="9"/>
            <c:invertIfNegative val="0"/>
            <c:bubble3D val="0"/>
          </c:dPt>
          <c:dPt>
            <c:idx val="10"/>
            <c:invertIfNegative val="0"/>
            <c:bubble3D val="0"/>
          </c:dPt>
          <c:dPt>
            <c:idx val="11"/>
            <c:invertIfNegative val="0"/>
            <c:bubble3D val="0"/>
          </c:dPt>
          <c:cat>
            <c:numRef>
              <c:f>Medstaff!$B$6:$Y$6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43191</c:v>
                </c:pt>
                <c:pt idx="13">
                  <c:v>43221</c:v>
                </c:pt>
                <c:pt idx="14">
                  <c:v>43252</c:v>
                </c:pt>
                <c:pt idx="15">
                  <c:v>43282</c:v>
                </c:pt>
                <c:pt idx="16">
                  <c:v>43313</c:v>
                </c:pt>
                <c:pt idx="17">
                  <c:v>43344</c:v>
                </c:pt>
                <c:pt idx="18">
                  <c:v>43374</c:v>
                </c:pt>
                <c:pt idx="19">
                  <c:v>43405</c:v>
                </c:pt>
                <c:pt idx="20">
                  <c:v>43435</c:v>
                </c:pt>
                <c:pt idx="21">
                  <c:v>43466</c:v>
                </c:pt>
                <c:pt idx="22">
                  <c:v>43497</c:v>
                </c:pt>
                <c:pt idx="23">
                  <c:v>43525</c:v>
                </c:pt>
              </c:numCache>
            </c:numRef>
          </c:cat>
          <c:val>
            <c:numRef>
              <c:f>Medstaff!$B$10:$Y$10</c:f>
              <c:numCache>
                <c:formatCode>#,##0.00;[Red]\(#,##0.00\)</c:formatCode>
                <c:ptCount val="24"/>
                <c:pt idx="0">
                  <c:v>5.7519028900000047</c:v>
                </c:pt>
                <c:pt idx="1">
                  <c:v>5.9872571099999954</c:v>
                </c:pt>
                <c:pt idx="2">
                  <c:v>6.0860499999999993</c:v>
                </c:pt>
                <c:pt idx="3">
                  <c:v>6.4512966600000325</c:v>
                </c:pt>
                <c:pt idx="4">
                  <c:v>6.3956833399999669</c:v>
                </c:pt>
                <c:pt idx="5">
                  <c:v>6.4491280000000009</c:v>
                </c:pt>
                <c:pt idx="6">
                  <c:v>6.4596721000000032</c:v>
                </c:pt>
                <c:pt idx="7">
                  <c:v>6.3434225699999951</c:v>
                </c:pt>
                <c:pt idx="8">
                  <c:v>6.167597330000004</c:v>
                </c:pt>
                <c:pt idx="9">
                  <c:v>6.12</c:v>
                </c:pt>
                <c:pt idx="10">
                  <c:v>6.0529999999999999</c:v>
                </c:pt>
                <c:pt idx="11">
                  <c:v>6.3630000000000004</c:v>
                </c:pt>
                <c:pt idx="12">
                  <c:v>6.31</c:v>
                </c:pt>
                <c:pt idx="13">
                  <c:v>6.3579999999999997</c:v>
                </c:pt>
                <c:pt idx="14">
                  <c:v>6.2389999999999999</c:v>
                </c:pt>
                <c:pt idx="15">
                  <c:v>6.3403090000000502</c:v>
                </c:pt>
              </c:numCache>
            </c:numRef>
          </c:val>
        </c:ser>
        <c:dLbls>
          <c:showLegendKey val="0"/>
          <c:showVal val="0"/>
          <c:showCatName val="0"/>
          <c:showSerName val="0"/>
          <c:showPercent val="0"/>
          <c:showBubbleSize val="0"/>
        </c:dLbls>
        <c:gapWidth val="150"/>
        <c:axId val="178765824"/>
        <c:axId val="178767360"/>
      </c:barChart>
      <c:lineChart>
        <c:grouping val="standard"/>
        <c:varyColors val="0"/>
        <c:ser>
          <c:idx val="0"/>
          <c:order val="0"/>
          <c:tx>
            <c:strRef>
              <c:f>Medstaff!$A$9</c:f>
              <c:strCache>
                <c:ptCount val="1"/>
                <c:pt idx="0">
                  <c:v>Medical Staffing - Target</c:v>
                </c:pt>
              </c:strCache>
            </c:strRef>
          </c:tx>
          <c:spPr>
            <a:ln>
              <a:solidFill>
                <a:schemeClr val="tx1"/>
              </a:solidFill>
            </a:ln>
          </c:spPr>
          <c:marker>
            <c:symbol val="none"/>
          </c:marker>
          <c:cat>
            <c:numRef>
              <c:f>Medstaff!$B$6:$Y$6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43191</c:v>
                </c:pt>
                <c:pt idx="13">
                  <c:v>43221</c:v>
                </c:pt>
                <c:pt idx="14">
                  <c:v>43252</c:v>
                </c:pt>
                <c:pt idx="15">
                  <c:v>43282</c:v>
                </c:pt>
                <c:pt idx="16">
                  <c:v>43313</c:v>
                </c:pt>
                <c:pt idx="17">
                  <c:v>43344</c:v>
                </c:pt>
                <c:pt idx="18">
                  <c:v>43374</c:v>
                </c:pt>
                <c:pt idx="19">
                  <c:v>43405</c:v>
                </c:pt>
                <c:pt idx="20">
                  <c:v>43435</c:v>
                </c:pt>
                <c:pt idx="21">
                  <c:v>43466</c:v>
                </c:pt>
                <c:pt idx="22">
                  <c:v>43497</c:v>
                </c:pt>
                <c:pt idx="23">
                  <c:v>43525</c:v>
                </c:pt>
              </c:numCache>
            </c:numRef>
          </c:cat>
          <c:val>
            <c:numRef>
              <c:f>Medstaff!$B$9:$Y$9</c:f>
              <c:numCache>
                <c:formatCode>#,##0.00;[Red]\(#,##0.00\)</c:formatCode>
                <c:ptCount val="24"/>
                <c:pt idx="0">
                  <c:v>5.7519028900000047</c:v>
                </c:pt>
                <c:pt idx="1">
                  <c:v>5.9872571099999954</c:v>
                </c:pt>
                <c:pt idx="2">
                  <c:v>6.0860499999999993</c:v>
                </c:pt>
                <c:pt idx="3">
                  <c:v>6.4512966600000325</c:v>
                </c:pt>
                <c:pt idx="4">
                  <c:v>6.3956833399999669</c:v>
                </c:pt>
                <c:pt idx="5">
                  <c:v>6.4429647738095221</c:v>
                </c:pt>
                <c:pt idx="6">
                  <c:v>6.2800162619047617</c:v>
                </c:pt>
                <c:pt idx="7">
                  <c:v>6.0855554425714287</c:v>
                </c:pt>
                <c:pt idx="8">
                  <c:v>6.2263480568</c:v>
                </c:pt>
                <c:pt idx="9">
                  <c:v>6.1674975058377548</c:v>
                </c:pt>
                <c:pt idx="10">
                  <c:v>5.8928518667802727</c:v>
                </c:pt>
                <c:pt idx="11">
                  <c:v>5.9177552864515315</c:v>
                </c:pt>
                <c:pt idx="12">
                  <c:v>6.3149824441957936</c:v>
                </c:pt>
                <c:pt idx="13">
                  <c:v>6.297371444195794</c:v>
                </c:pt>
                <c:pt idx="14">
                  <c:v>6.1810924441957935</c:v>
                </c:pt>
                <c:pt idx="15">
                  <c:v>6.1646148022073257</c:v>
                </c:pt>
                <c:pt idx="16">
                  <c:v>6.1414648022073264</c:v>
                </c:pt>
                <c:pt idx="17">
                  <c:v>6.0791378022073257</c:v>
                </c:pt>
                <c:pt idx="18">
                  <c:v>6.0435085758523348</c:v>
                </c:pt>
                <c:pt idx="19">
                  <c:v>5.8774685758523351</c:v>
                </c:pt>
                <c:pt idx="20">
                  <c:v>5.6613132425190011</c:v>
                </c:pt>
                <c:pt idx="21">
                  <c:v>5.6702118227527567</c:v>
                </c:pt>
                <c:pt idx="22">
                  <c:v>5.6603618227527566</c:v>
                </c:pt>
                <c:pt idx="23">
                  <c:v>5.8583931560860911</c:v>
                </c:pt>
              </c:numCache>
            </c:numRef>
          </c:val>
          <c:smooth val="0"/>
        </c:ser>
        <c:dLbls>
          <c:showLegendKey val="0"/>
          <c:showVal val="0"/>
          <c:showCatName val="0"/>
          <c:showSerName val="0"/>
          <c:showPercent val="0"/>
          <c:showBubbleSize val="0"/>
        </c:dLbls>
        <c:marker val="1"/>
        <c:smooth val="0"/>
        <c:axId val="178765824"/>
        <c:axId val="178767360"/>
      </c:lineChart>
      <c:dateAx>
        <c:axId val="178765824"/>
        <c:scaling>
          <c:orientation val="minMax"/>
        </c:scaling>
        <c:delete val="0"/>
        <c:axPos val="b"/>
        <c:numFmt formatCode="mmm\-yy" sourceLinked="1"/>
        <c:majorTickMark val="out"/>
        <c:minorTickMark val="none"/>
        <c:tickLblPos val="nextTo"/>
        <c:txPr>
          <a:bodyPr/>
          <a:lstStyle/>
          <a:p>
            <a:pPr>
              <a:defRPr b="1" i="0" baseline="0"/>
            </a:pPr>
            <a:endParaRPr lang="en-US"/>
          </a:p>
        </c:txPr>
        <c:crossAx val="178767360"/>
        <c:crosses val="autoZero"/>
        <c:auto val="1"/>
        <c:lblOffset val="100"/>
        <c:baseTimeUnit val="months"/>
      </c:dateAx>
      <c:valAx>
        <c:axId val="178767360"/>
        <c:scaling>
          <c:orientation val="minMax"/>
        </c:scaling>
        <c:delete val="0"/>
        <c:axPos val="l"/>
        <c:majorGridlines/>
        <c:numFmt formatCode="#,##0.00" sourceLinked="0"/>
        <c:majorTickMark val="out"/>
        <c:minorTickMark val="none"/>
        <c:tickLblPos val="nextTo"/>
        <c:crossAx val="178765824"/>
        <c:crosses val="autoZero"/>
        <c:crossBetween val="between"/>
      </c:valAx>
    </c:plotArea>
    <c:legend>
      <c:legendPos val="r"/>
      <c:layout>
        <c:manualLayout>
          <c:xMode val="edge"/>
          <c:yMode val="edge"/>
          <c:x val="0.18687529720050469"/>
          <c:y val="0.60474096651897002"/>
          <c:w val="0.33854836665309729"/>
          <c:h val="0.1728354923376513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Nurse Staffing Expenditure Run Rate</a:t>
            </a:r>
          </a:p>
        </c:rich>
      </c:tx>
      <c:overlay val="0"/>
    </c:title>
    <c:autoTitleDeleted val="0"/>
    <c:plotArea>
      <c:layout>
        <c:manualLayout>
          <c:layoutTarget val="inner"/>
          <c:xMode val="edge"/>
          <c:yMode val="edge"/>
          <c:x val="0.11040569289021109"/>
          <c:y val="0.14318140339984384"/>
          <c:w val="0.85526154055053649"/>
          <c:h val="0.67180575546336274"/>
        </c:manualLayout>
      </c:layout>
      <c:barChart>
        <c:barDir val="col"/>
        <c:grouping val="clustered"/>
        <c:varyColors val="0"/>
        <c:ser>
          <c:idx val="1"/>
          <c:order val="1"/>
          <c:tx>
            <c:strRef>
              <c:f>Nursing!$A$10</c:f>
              <c:strCache>
                <c:ptCount val="1"/>
                <c:pt idx="0">
                  <c:v>Actual/Forecast (excl. technical items)</c:v>
                </c:pt>
              </c:strCache>
            </c:strRef>
          </c:tx>
          <c:spPr>
            <a:solidFill>
              <a:srgbClr val="C00000"/>
            </a:solidFill>
          </c:spPr>
          <c:invertIfNegative val="0"/>
          <c:dPt>
            <c:idx val="8"/>
            <c:invertIfNegative val="0"/>
            <c:bubble3D val="0"/>
          </c:dPt>
          <c:dPt>
            <c:idx val="9"/>
            <c:invertIfNegative val="0"/>
            <c:bubble3D val="0"/>
          </c:dPt>
          <c:dPt>
            <c:idx val="10"/>
            <c:invertIfNegative val="0"/>
            <c:bubble3D val="0"/>
          </c:dPt>
          <c:dPt>
            <c:idx val="11"/>
            <c:invertIfNegative val="0"/>
            <c:bubble3D val="0"/>
          </c:dPt>
          <c:cat>
            <c:numRef>
              <c:f>Nursing!$B$6:$Y$6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Nursing!$B$10:$Y$10</c:f>
              <c:numCache>
                <c:formatCode>#,##0.00;[Red]\(#,##0.00\)</c:formatCode>
                <c:ptCount val="24"/>
                <c:pt idx="0">
                  <c:v>7.749861590000001</c:v>
                </c:pt>
                <c:pt idx="1">
                  <c:v>7.7759784099999987</c:v>
                </c:pt>
                <c:pt idx="2">
                  <c:v>7.5444599999999991</c:v>
                </c:pt>
                <c:pt idx="3">
                  <c:v>7.7140867399999955</c:v>
                </c:pt>
                <c:pt idx="4">
                  <c:v>7.6955532600000076</c:v>
                </c:pt>
                <c:pt idx="5">
                  <c:v>7.6415343699999942</c:v>
                </c:pt>
                <c:pt idx="6">
                  <c:v>7.6855437600000078</c:v>
                </c:pt>
                <c:pt idx="7">
                  <c:v>7.6259457899999976</c:v>
                </c:pt>
                <c:pt idx="8">
                  <c:v>7.6002190000000045</c:v>
                </c:pt>
                <c:pt idx="9">
                  <c:v>7.7359999999999998</c:v>
                </c:pt>
                <c:pt idx="10">
                  <c:v>7.7519999999999998</c:v>
                </c:pt>
                <c:pt idx="11">
                  <c:v>7.9379999999999997</c:v>
                </c:pt>
                <c:pt idx="12">
                  <c:v>7.7750000000000004</c:v>
                </c:pt>
                <c:pt idx="13">
                  <c:v>7.7850000000000001</c:v>
                </c:pt>
                <c:pt idx="14">
                  <c:v>7.9180000000000001</c:v>
                </c:pt>
                <c:pt idx="15">
                  <c:v>7.9568910100000201</c:v>
                </c:pt>
              </c:numCache>
            </c:numRef>
          </c:val>
        </c:ser>
        <c:dLbls>
          <c:showLegendKey val="0"/>
          <c:showVal val="0"/>
          <c:showCatName val="0"/>
          <c:showSerName val="0"/>
          <c:showPercent val="0"/>
          <c:showBubbleSize val="0"/>
        </c:dLbls>
        <c:gapWidth val="150"/>
        <c:axId val="178780800"/>
        <c:axId val="178790784"/>
      </c:barChart>
      <c:lineChart>
        <c:grouping val="standard"/>
        <c:varyColors val="0"/>
        <c:ser>
          <c:idx val="0"/>
          <c:order val="0"/>
          <c:tx>
            <c:strRef>
              <c:f>Nursing!$A$9</c:f>
              <c:strCache>
                <c:ptCount val="1"/>
                <c:pt idx="0">
                  <c:v>Nurse Staffing - Target</c:v>
                </c:pt>
              </c:strCache>
            </c:strRef>
          </c:tx>
          <c:spPr>
            <a:ln>
              <a:solidFill>
                <a:schemeClr val="tx1"/>
              </a:solidFill>
            </a:ln>
          </c:spPr>
          <c:marker>
            <c:symbol val="none"/>
          </c:marker>
          <c:cat>
            <c:numRef>
              <c:f>Nursing!$B$6:$Y$6</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Nursing!$B$9:$Y$9</c:f>
              <c:numCache>
                <c:formatCode>#,##0.00;[Red]\(#,##0.00\)</c:formatCode>
                <c:ptCount val="24"/>
                <c:pt idx="0">
                  <c:v>7.749861590000001</c:v>
                </c:pt>
                <c:pt idx="1">
                  <c:v>7.7759784099999987</c:v>
                </c:pt>
                <c:pt idx="2">
                  <c:v>7.5444599999999991</c:v>
                </c:pt>
                <c:pt idx="3">
                  <c:v>7.7140867399999955</c:v>
                </c:pt>
                <c:pt idx="4">
                  <c:v>7.6955532600000076</c:v>
                </c:pt>
                <c:pt idx="5">
                  <c:v>7.6445040267857101</c:v>
                </c:pt>
                <c:pt idx="6">
                  <c:v>7.7353149464285718</c:v>
                </c:pt>
                <c:pt idx="7">
                  <c:v>7.4996340869285705</c:v>
                </c:pt>
                <c:pt idx="8">
                  <c:v>7.4559927628857139</c:v>
                </c:pt>
                <c:pt idx="9">
                  <c:v>7.3425703188774119</c:v>
                </c:pt>
                <c:pt idx="10">
                  <c:v>7.2962444695119677</c:v>
                </c:pt>
                <c:pt idx="11">
                  <c:v>7.2723440382292459</c:v>
                </c:pt>
                <c:pt idx="12">
                  <c:v>7.8528763701493336</c:v>
                </c:pt>
                <c:pt idx="13">
                  <c:v>7.7921309156038792</c:v>
                </c:pt>
                <c:pt idx="14">
                  <c:v>7.8049309156038786</c:v>
                </c:pt>
                <c:pt idx="15">
                  <c:v>7.9176751527053906</c:v>
                </c:pt>
                <c:pt idx="16">
                  <c:v>8.3974501527053889</c:v>
                </c:pt>
                <c:pt idx="17">
                  <c:v>8.1899322955625316</c:v>
                </c:pt>
                <c:pt idx="18">
                  <c:v>8.1574097968830657</c:v>
                </c:pt>
                <c:pt idx="19">
                  <c:v>8.0140097968830659</c:v>
                </c:pt>
                <c:pt idx="20">
                  <c:v>7.9640097968830652</c:v>
                </c:pt>
                <c:pt idx="21">
                  <c:v>7.9804679228734656</c:v>
                </c:pt>
                <c:pt idx="22">
                  <c:v>7.9874679228734662</c:v>
                </c:pt>
                <c:pt idx="23">
                  <c:v>7.9942679228734663</c:v>
                </c:pt>
              </c:numCache>
            </c:numRef>
          </c:val>
          <c:smooth val="0"/>
        </c:ser>
        <c:dLbls>
          <c:showLegendKey val="0"/>
          <c:showVal val="0"/>
          <c:showCatName val="0"/>
          <c:showSerName val="0"/>
          <c:showPercent val="0"/>
          <c:showBubbleSize val="0"/>
        </c:dLbls>
        <c:marker val="1"/>
        <c:smooth val="0"/>
        <c:axId val="178780800"/>
        <c:axId val="178790784"/>
      </c:lineChart>
      <c:dateAx>
        <c:axId val="178780800"/>
        <c:scaling>
          <c:orientation val="minMax"/>
        </c:scaling>
        <c:delete val="0"/>
        <c:axPos val="b"/>
        <c:numFmt formatCode="mmm\-yy" sourceLinked="1"/>
        <c:majorTickMark val="out"/>
        <c:minorTickMark val="none"/>
        <c:tickLblPos val="nextTo"/>
        <c:txPr>
          <a:bodyPr/>
          <a:lstStyle/>
          <a:p>
            <a:pPr>
              <a:defRPr b="1" i="0" baseline="0"/>
            </a:pPr>
            <a:endParaRPr lang="en-US"/>
          </a:p>
        </c:txPr>
        <c:crossAx val="178790784"/>
        <c:crosses val="autoZero"/>
        <c:auto val="1"/>
        <c:lblOffset val="100"/>
        <c:baseTimeUnit val="months"/>
      </c:dateAx>
      <c:valAx>
        <c:axId val="178790784"/>
        <c:scaling>
          <c:orientation val="minMax"/>
        </c:scaling>
        <c:delete val="0"/>
        <c:axPos val="l"/>
        <c:majorGridlines/>
        <c:numFmt formatCode="#,##0.00" sourceLinked="0"/>
        <c:majorTickMark val="out"/>
        <c:minorTickMark val="none"/>
        <c:tickLblPos val="nextTo"/>
        <c:crossAx val="178780800"/>
        <c:crosses val="autoZero"/>
        <c:crossBetween val="between"/>
      </c:valAx>
    </c:plotArea>
    <c:legend>
      <c:legendPos val="r"/>
      <c:layout>
        <c:manualLayout>
          <c:xMode val="edge"/>
          <c:yMode val="edge"/>
          <c:x val="0.18687529720050469"/>
          <c:y val="0.60474096651897002"/>
          <c:w val="0.33854836665309729"/>
          <c:h val="0.1728354923376513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Administrative</a:t>
            </a:r>
            <a:r>
              <a:rPr lang="en-US" sz="1400" baseline="0"/>
              <a:t> and Management</a:t>
            </a:r>
            <a:r>
              <a:rPr lang="en-US" sz="1400"/>
              <a:t> Staffing Expenditure Run Rate</a:t>
            </a:r>
          </a:p>
        </c:rich>
      </c:tx>
      <c:overlay val="0"/>
    </c:title>
    <c:autoTitleDeleted val="0"/>
    <c:plotArea>
      <c:layout>
        <c:manualLayout>
          <c:layoutTarget val="inner"/>
          <c:xMode val="edge"/>
          <c:yMode val="edge"/>
          <c:x val="0.11040569289021109"/>
          <c:y val="0.14318140339984384"/>
          <c:w val="0.85526154055053649"/>
          <c:h val="0.67180575546336274"/>
        </c:manualLayout>
      </c:layout>
      <c:barChart>
        <c:barDir val="col"/>
        <c:grouping val="clustered"/>
        <c:varyColors val="0"/>
        <c:ser>
          <c:idx val="1"/>
          <c:order val="1"/>
          <c:tx>
            <c:strRef>
              <c:f>'A&amp;C'!$A$7</c:f>
              <c:strCache>
                <c:ptCount val="1"/>
                <c:pt idx="0">
                  <c:v>Actual/Forecast (excl. technical items)</c:v>
                </c:pt>
              </c:strCache>
            </c:strRef>
          </c:tx>
          <c:spPr>
            <a:solidFill>
              <a:srgbClr val="C00000"/>
            </a:solidFill>
          </c:spPr>
          <c:invertIfNegative val="0"/>
          <c:dPt>
            <c:idx val="8"/>
            <c:invertIfNegative val="0"/>
            <c:bubble3D val="0"/>
          </c:dPt>
          <c:dPt>
            <c:idx val="9"/>
            <c:invertIfNegative val="0"/>
            <c:bubble3D val="0"/>
          </c:dPt>
          <c:dPt>
            <c:idx val="10"/>
            <c:invertIfNegative val="0"/>
            <c:bubble3D val="0"/>
          </c:dPt>
          <c:dPt>
            <c:idx val="11"/>
            <c:invertIfNegative val="0"/>
            <c:bubble3D val="0"/>
          </c:dPt>
          <c:cat>
            <c:numRef>
              <c:f>'A&amp;C'!$B$3:$Y$3</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'A&amp;C'!$B$7:$Y$7</c:f>
              <c:numCache>
                <c:formatCode>0.00</c:formatCode>
                <c:ptCount val="24"/>
                <c:pt idx="0">
                  <c:v>3.2866247700000026</c:v>
                </c:pt>
                <c:pt idx="1">
                  <c:v>3.3179752299999978</c:v>
                </c:pt>
                <c:pt idx="2">
                  <c:v>3.2617399999999996</c:v>
                </c:pt>
                <c:pt idx="3">
                  <c:v>3.2685186999999951</c:v>
                </c:pt>
                <c:pt idx="4">
                  <c:v>3.2505173000000052</c:v>
                </c:pt>
                <c:pt idx="5">
                  <c:v>3.2357897299999969</c:v>
                </c:pt>
                <c:pt idx="6">
                  <c:v>3.2511423400000057</c:v>
                </c:pt>
                <c:pt idx="7">
                  <c:v>3.3186735099999969</c:v>
                </c:pt>
                <c:pt idx="8">
                  <c:v>3.2608207500000024</c:v>
                </c:pt>
                <c:pt idx="9">
                  <c:v>3.4765499999999991</c:v>
                </c:pt>
                <c:pt idx="10">
                  <c:v>3.4260000000000002</c:v>
                </c:pt>
                <c:pt idx="11">
                  <c:v>3.427</c:v>
                </c:pt>
                <c:pt idx="12">
                  <c:v>3.4</c:v>
                </c:pt>
                <c:pt idx="13">
                  <c:v>3.476</c:v>
                </c:pt>
                <c:pt idx="14">
                  <c:v>3.4630000000000001</c:v>
                </c:pt>
                <c:pt idx="15">
                  <c:v>3.53551690000001</c:v>
                </c:pt>
              </c:numCache>
            </c:numRef>
          </c:val>
        </c:ser>
        <c:dLbls>
          <c:showLegendKey val="0"/>
          <c:showVal val="0"/>
          <c:showCatName val="0"/>
          <c:showSerName val="0"/>
          <c:showPercent val="0"/>
          <c:showBubbleSize val="0"/>
        </c:dLbls>
        <c:gapWidth val="150"/>
        <c:axId val="178804608"/>
        <c:axId val="178806144"/>
      </c:barChart>
      <c:lineChart>
        <c:grouping val="standard"/>
        <c:varyColors val="0"/>
        <c:ser>
          <c:idx val="0"/>
          <c:order val="0"/>
          <c:tx>
            <c:strRef>
              <c:f>'A&amp;C'!$A$6</c:f>
              <c:strCache>
                <c:ptCount val="1"/>
                <c:pt idx="0">
                  <c:v>A&amp;C Staffing - Target (£40.0m)</c:v>
                </c:pt>
              </c:strCache>
            </c:strRef>
          </c:tx>
          <c:spPr>
            <a:ln>
              <a:solidFill>
                <a:schemeClr val="tx1"/>
              </a:solidFill>
            </a:ln>
          </c:spPr>
          <c:marker>
            <c:symbol val="none"/>
          </c:marker>
          <c:cat>
            <c:numRef>
              <c:f>'A&amp;C'!$B$3:$Y$3</c:f>
              <c:numCache>
                <c:formatCode>mmm\-yy</c:formatCode>
                <c:ptCount val="24"/>
                <c:pt idx="0">
                  <c:v>42826</c:v>
                </c:pt>
                <c:pt idx="1">
                  <c:v>42857</c:v>
                </c:pt>
                <c:pt idx="2">
                  <c:v>42888</c:v>
                </c:pt>
                <c:pt idx="3">
                  <c:v>42919</c:v>
                </c:pt>
                <c:pt idx="4">
                  <c:v>42950</c:v>
                </c:pt>
                <c:pt idx="5">
                  <c:v>42981</c:v>
                </c:pt>
                <c:pt idx="6">
                  <c:v>43012</c:v>
                </c:pt>
                <c:pt idx="7">
                  <c:v>43043</c:v>
                </c:pt>
                <c:pt idx="8">
                  <c:v>43074</c:v>
                </c:pt>
                <c:pt idx="9">
                  <c:v>43105</c:v>
                </c:pt>
                <c:pt idx="10">
                  <c:v>43136</c:v>
                </c:pt>
                <c:pt idx="11">
                  <c:v>43167</c:v>
                </c:pt>
                <c:pt idx="12">
                  <c:v>43198</c:v>
                </c:pt>
                <c:pt idx="13">
                  <c:v>43228</c:v>
                </c:pt>
                <c:pt idx="14">
                  <c:v>43259</c:v>
                </c:pt>
                <c:pt idx="15">
                  <c:v>43289</c:v>
                </c:pt>
                <c:pt idx="16">
                  <c:v>43320</c:v>
                </c:pt>
                <c:pt idx="17">
                  <c:v>43351</c:v>
                </c:pt>
                <c:pt idx="18">
                  <c:v>43381</c:v>
                </c:pt>
                <c:pt idx="19">
                  <c:v>43412</c:v>
                </c:pt>
                <c:pt idx="20">
                  <c:v>43442</c:v>
                </c:pt>
                <c:pt idx="21">
                  <c:v>43473</c:v>
                </c:pt>
                <c:pt idx="22">
                  <c:v>43504</c:v>
                </c:pt>
                <c:pt idx="23">
                  <c:v>43532</c:v>
                </c:pt>
              </c:numCache>
            </c:numRef>
          </c:cat>
          <c:val>
            <c:numRef>
              <c:f>'A&amp;C'!$B$6:$Y$6</c:f>
              <c:numCache>
                <c:formatCode>0.00</c:formatCode>
                <c:ptCount val="24"/>
                <c:pt idx="0">
                  <c:v>3.2866247700000026</c:v>
                </c:pt>
                <c:pt idx="1">
                  <c:v>3.3179752299999978</c:v>
                </c:pt>
                <c:pt idx="2">
                  <c:v>3.2617399999999996</c:v>
                </c:pt>
                <c:pt idx="3">
                  <c:v>3.2685186999999951</c:v>
                </c:pt>
                <c:pt idx="4">
                  <c:v>3.2505173000000052</c:v>
                </c:pt>
                <c:pt idx="5">
                  <c:v>3.2307823035714267</c:v>
                </c:pt>
                <c:pt idx="6">
                  <c:v>3.2905440690476193</c:v>
                </c:pt>
                <c:pt idx="7">
                  <c:v>3.280253612619048</c:v>
                </c:pt>
                <c:pt idx="8">
                  <c:v>3.2714970999047623</c:v>
                </c:pt>
                <c:pt idx="9">
                  <c:v>3.2405318382616581</c:v>
                </c:pt>
                <c:pt idx="10">
                  <c:v>3.2253169159042692</c:v>
                </c:pt>
                <c:pt idx="11">
                  <c:v>3.2103988910112893</c:v>
                </c:pt>
                <c:pt idx="12">
                  <c:v>3.3532960318477665</c:v>
                </c:pt>
                <c:pt idx="13">
                  <c:v>3.3742945166962515</c:v>
                </c:pt>
                <c:pt idx="14">
                  <c:v>3.3782695166962511</c:v>
                </c:pt>
                <c:pt idx="15">
                  <c:v>3.474324560566703</c:v>
                </c:pt>
                <c:pt idx="16">
                  <c:v>3.6901245605667028</c:v>
                </c:pt>
                <c:pt idx="17">
                  <c:v>3.468799560566703</c:v>
                </c:pt>
                <c:pt idx="18">
                  <c:v>3.4682781375791554</c:v>
                </c:pt>
                <c:pt idx="19">
                  <c:v>3.430418137579156</c:v>
                </c:pt>
                <c:pt idx="20">
                  <c:v>3.430418137579156</c:v>
                </c:pt>
                <c:pt idx="21">
                  <c:v>3.4407770703384957</c:v>
                </c:pt>
                <c:pt idx="22">
                  <c:v>3.4407770703384957</c:v>
                </c:pt>
                <c:pt idx="23">
                  <c:v>3.4407770703384957</c:v>
                </c:pt>
              </c:numCache>
            </c:numRef>
          </c:val>
          <c:smooth val="0"/>
        </c:ser>
        <c:dLbls>
          <c:showLegendKey val="0"/>
          <c:showVal val="0"/>
          <c:showCatName val="0"/>
          <c:showSerName val="0"/>
          <c:showPercent val="0"/>
          <c:showBubbleSize val="0"/>
        </c:dLbls>
        <c:marker val="1"/>
        <c:smooth val="0"/>
        <c:axId val="178804608"/>
        <c:axId val="178806144"/>
      </c:lineChart>
      <c:dateAx>
        <c:axId val="178804608"/>
        <c:scaling>
          <c:orientation val="minMax"/>
        </c:scaling>
        <c:delete val="0"/>
        <c:axPos val="b"/>
        <c:numFmt formatCode="mmm\-yy" sourceLinked="1"/>
        <c:majorTickMark val="out"/>
        <c:minorTickMark val="none"/>
        <c:tickLblPos val="nextTo"/>
        <c:txPr>
          <a:bodyPr/>
          <a:lstStyle/>
          <a:p>
            <a:pPr>
              <a:defRPr b="1" i="0" baseline="0"/>
            </a:pPr>
            <a:endParaRPr lang="en-US"/>
          </a:p>
        </c:txPr>
        <c:crossAx val="178806144"/>
        <c:crosses val="autoZero"/>
        <c:auto val="1"/>
        <c:lblOffset val="100"/>
        <c:baseTimeUnit val="months"/>
      </c:dateAx>
      <c:valAx>
        <c:axId val="178806144"/>
        <c:scaling>
          <c:orientation val="minMax"/>
        </c:scaling>
        <c:delete val="0"/>
        <c:axPos val="l"/>
        <c:majorGridlines/>
        <c:numFmt formatCode="#,##0.00" sourceLinked="0"/>
        <c:majorTickMark val="out"/>
        <c:minorTickMark val="none"/>
        <c:tickLblPos val="nextTo"/>
        <c:crossAx val="178804608"/>
        <c:crosses val="autoZero"/>
        <c:crossBetween val="between"/>
      </c:valAx>
    </c:plotArea>
    <c:legend>
      <c:legendPos val="r"/>
      <c:layout>
        <c:manualLayout>
          <c:xMode val="edge"/>
          <c:yMode val="edge"/>
          <c:x val="0.18687529720050469"/>
          <c:y val="0.60474096651897002"/>
          <c:w val="0.33854836665309729"/>
          <c:h val="0.1728354923376513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cf6ec6-063a-423e-b35c-93aca5d1d506">NLAG-288-3428</_dlc_DocId>
    <_dlc_DocIdUrl xmlns="30cf6ec6-063a-423e-b35c-93aca5d1d506">
      <Url>http://nlgnet.nlg.nhs.uk/meetings/Trust.Board.of.Directors/_layouts/15/DocIdRedir.aspx?ID=NLAG-288-3428</Url>
      <Description>NLAG-288-3428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C2028A09B6F94380411596D6B346FC" ma:contentTypeVersion="14" ma:contentTypeDescription="Create a new document." ma:contentTypeScope="" ma:versionID="fc0da2bade0007ceda5d2756f44f0a09">
  <xsd:schema xmlns:xsd="http://www.w3.org/2001/XMLSchema" xmlns:xs="http://www.w3.org/2001/XMLSchema" xmlns:p="http://schemas.microsoft.com/office/2006/metadata/properties" xmlns:ns2="30cf6ec6-063a-423e-b35c-93aca5d1d506" targetNamespace="http://schemas.microsoft.com/office/2006/metadata/properties" ma:root="true" ma:fieldsID="c87f3ca19604ea21792aa47c77fc8c69" ns2:_="">
    <xsd:import namespace="30cf6ec6-063a-423e-b35c-93aca5d1d5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f6ec6-063a-423e-b35c-93aca5d1d5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81109-6315-4EA7-A35E-2091D045575F}">
  <ds:schemaRefs>
    <ds:schemaRef ds:uri="http://purl.org/dc/elements/1.1/"/>
    <ds:schemaRef ds:uri="http://schemas.microsoft.com/office/2006/documentManagement/types"/>
    <ds:schemaRef ds:uri="30cf6ec6-063a-423e-b35c-93aca5d1d506"/>
    <ds:schemaRef ds:uri="http://schemas.openxmlformats.org/package/2006/metadata/core-properties"/>
    <ds:schemaRef ds:uri="http://purl.org/dc/term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2679832-3CD4-4C9A-BC9A-D8DA1A1BF623}">
  <ds:schemaRefs>
    <ds:schemaRef ds:uri="http://schemas.microsoft.com/sharepoint/events"/>
  </ds:schemaRefs>
</ds:datastoreItem>
</file>

<file path=customXml/itemProps3.xml><?xml version="1.0" encoding="utf-8"?>
<ds:datastoreItem xmlns:ds="http://schemas.openxmlformats.org/officeDocument/2006/customXml" ds:itemID="{A49D9659-375B-4902-AA8C-C0A830042A8D}">
  <ds:schemaRefs>
    <ds:schemaRef ds:uri="http://schemas.microsoft.com/sharepoint/v3/contenttype/forms"/>
  </ds:schemaRefs>
</ds:datastoreItem>
</file>

<file path=customXml/itemProps4.xml><?xml version="1.0" encoding="utf-8"?>
<ds:datastoreItem xmlns:ds="http://schemas.openxmlformats.org/officeDocument/2006/customXml" ds:itemID="{B06BF036-D8B1-4819-9AF8-59061A040C09}"/>
</file>

<file path=customXml/itemProps5.xml><?xml version="1.0" encoding="utf-8"?>
<ds:datastoreItem xmlns:ds="http://schemas.openxmlformats.org/officeDocument/2006/customXml" ds:itemID="{466C9624-6489-4AFC-B2CB-733D5204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6527</Words>
  <Characters>37210</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NLG NHS Foundation Trust</Company>
  <LinksUpToDate>false</LinksUpToDate>
  <CharactersWithSpaces>43650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description/>
  <cp:lastModifiedBy>Windows User</cp:lastModifiedBy>
  <cp:revision>2</cp:revision>
  <cp:lastPrinted>2018-08-22T13:43:00Z</cp:lastPrinted>
  <dcterms:created xsi:type="dcterms:W3CDTF">2018-08-23T08:33:00Z</dcterms:created>
  <dcterms:modified xsi:type="dcterms:W3CDTF">2018-08-23T08:33:00Z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0x010100EFC2028A09B6F94380411596D6B346FC</vt:lpwstr>
  </property>
  <property fmtid="{D5CDD505-2E9C-101B-9397-08002B2CF9AE}" pid="3" name="_dlc_DocIdItemGuid">
    <vt:lpwstr>b4afbc18-5167-452d-b242-da128b56f658</vt:lpwstr>
  </property>
</Properties>
</file>